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59" w:rsidRDefault="00C22259" w:rsidP="00B54C34">
      <w:pPr>
        <w:ind w:left="398"/>
        <w:rPr>
          <w:noProof/>
          <w:sz w:val="20"/>
          <w:lang w:val="ru-RU" w:eastAsia="ru-RU"/>
        </w:rPr>
      </w:pPr>
    </w:p>
    <w:p w:rsidR="003A353F" w:rsidRDefault="003A353F" w:rsidP="003A353F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ЗАТВЕРДЖЕНО</w:t>
      </w:r>
    </w:p>
    <w:p w:rsidR="003A353F" w:rsidRDefault="003A353F" w:rsidP="003A353F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3A353F" w:rsidRDefault="003A353F" w:rsidP="003A353F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3A353F" w:rsidRDefault="003A353F" w:rsidP="003A353F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3A353F" w:rsidRDefault="003A353F" w:rsidP="003A353F">
      <w:pPr>
        <w:spacing w:before="89" w:line="298" w:lineRule="exact"/>
        <w:ind w:left="511" w:right="399"/>
        <w:jc w:val="center"/>
        <w:rPr>
          <w:noProof/>
          <w:sz w:val="20"/>
          <w:lang w:eastAsia="ru-RU"/>
        </w:rPr>
      </w:pPr>
    </w:p>
    <w:p w:rsidR="00B54C34" w:rsidRDefault="00B54C34">
      <w:pPr>
        <w:spacing w:before="88"/>
        <w:ind w:left="511" w:right="399"/>
        <w:jc w:val="center"/>
        <w:rPr>
          <w:b/>
          <w:sz w:val="26"/>
        </w:rPr>
      </w:pPr>
    </w:p>
    <w:p w:rsidR="00E03609" w:rsidRDefault="00446871">
      <w:pPr>
        <w:spacing w:before="88"/>
        <w:ind w:left="511" w:right="399"/>
        <w:jc w:val="center"/>
        <w:rPr>
          <w:b/>
          <w:sz w:val="26"/>
        </w:rPr>
      </w:pPr>
      <w:r>
        <w:rPr>
          <w:b/>
          <w:sz w:val="26"/>
        </w:rPr>
        <w:t>ІНФОРМАЦІЙНА КАРТКА</w:t>
      </w:r>
    </w:p>
    <w:p w:rsidR="00502243" w:rsidRPr="00502243" w:rsidRDefault="00502243" w:rsidP="00502243">
      <w:pPr>
        <w:spacing w:before="88"/>
        <w:ind w:left="511" w:right="399"/>
        <w:jc w:val="center"/>
        <w:rPr>
          <w:b/>
          <w:sz w:val="26"/>
        </w:rPr>
      </w:pPr>
      <w:r w:rsidRPr="00502243">
        <w:rPr>
          <w:b/>
          <w:sz w:val="26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502243" w:rsidRPr="00502243" w:rsidRDefault="00502243" w:rsidP="00502243">
      <w:pPr>
        <w:spacing w:before="88"/>
        <w:ind w:left="511" w:right="399"/>
        <w:jc w:val="center"/>
        <w:rPr>
          <w:b/>
          <w:sz w:val="26"/>
        </w:rPr>
      </w:pPr>
    </w:p>
    <w:p w:rsidR="00502243" w:rsidRPr="00502243" w:rsidRDefault="00502243" w:rsidP="00502243">
      <w:pPr>
        <w:spacing w:before="88"/>
        <w:ind w:left="511" w:right="399"/>
        <w:jc w:val="center"/>
        <w:rPr>
          <w:b/>
          <w:sz w:val="26"/>
        </w:rPr>
      </w:pPr>
      <w:r w:rsidRPr="00502243">
        <w:rPr>
          <w:b/>
          <w:sz w:val="26"/>
        </w:rPr>
        <w:t>Джерело: https://guide.diia.gov.ua/register/00092/</w:t>
      </w:r>
    </w:p>
    <w:p w:rsidR="00502243" w:rsidRDefault="00502243" w:rsidP="00502243">
      <w:pPr>
        <w:spacing w:before="88"/>
        <w:ind w:left="511" w:right="399"/>
        <w:jc w:val="center"/>
        <w:rPr>
          <w:b/>
          <w:sz w:val="26"/>
        </w:rPr>
      </w:pPr>
      <w:r w:rsidRPr="00502243">
        <w:rPr>
          <w:b/>
          <w:sz w:val="26"/>
        </w:rPr>
        <w:t xml:space="preserve">© </w:t>
      </w:r>
      <w:proofErr w:type="spellStart"/>
      <w:r w:rsidRPr="00502243">
        <w:rPr>
          <w:b/>
          <w:sz w:val="26"/>
        </w:rPr>
        <w:t>Дiя</w:t>
      </w:r>
      <w:proofErr w:type="spellEnd"/>
    </w:p>
    <w:p w:rsidR="00502243" w:rsidRDefault="00502243" w:rsidP="00502243">
      <w:pPr>
        <w:spacing w:before="88"/>
        <w:ind w:left="511" w:right="399"/>
        <w:jc w:val="center"/>
        <w:rPr>
          <w:b/>
          <w:sz w:val="26"/>
        </w:rPr>
      </w:pPr>
    </w:p>
    <w:p w:rsidR="00E03609" w:rsidRDefault="003A353F">
      <w:pPr>
        <w:spacing w:before="11"/>
        <w:rPr>
          <w:b/>
          <w:sz w:val="25"/>
        </w:rPr>
      </w:pPr>
      <w:r>
        <w:rPr>
          <w:b/>
          <w:sz w:val="25"/>
        </w:rPr>
        <w:t xml:space="preserve">№ послуги  В ЦНАП за переліком- № 50 </w:t>
      </w:r>
      <w:r w:rsidR="00502243">
        <w:rPr>
          <w:b/>
          <w:sz w:val="25"/>
        </w:rPr>
        <w:t>Ідентифікатор послуги: 00092</w:t>
      </w:r>
    </w:p>
    <w:p w:rsidR="00502243" w:rsidRDefault="00502243" w:rsidP="00B54C34">
      <w:pPr>
        <w:pStyle w:val="a3"/>
        <w:ind w:left="516" w:right="399"/>
        <w:jc w:val="center"/>
      </w:pPr>
    </w:p>
    <w:p w:rsidR="00E03609" w:rsidRDefault="00B54C34" w:rsidP="00B54C34">
      <w:pPr>
        <w:pStyle w:val="a3"/>
        <w:ind w:left="516" w:right="399"/>
        <w:jc w:val="center"/>
      </w:pPr>
      <w:r>
        <w:t>Відділ державної реєстрації ЦНАП</w:t>
      </w:r>
      <w:r w:rsidR="00446871">
        <w:t xml:space="preserve"> міської ради</w:t>
      </w:r>
    </w:p>
    <w:p w:rsidR="00502243" w:rsidRDefault="00502243" w:rsidP="00B54C34">
      <w:pPr>
        <w:pStyle w:val="a3"/>
        <w:ind w:left="516" w:right="399"/>
        <w:jc w:val="center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2"/>
        <w:gridCol w:w="6645"/>
      </w:tblGrid>
      <w:tr w:rsidR="00E03609" w:rsidTr="00B54C34">
        <w:trPr>
          <w:trHeight w:val="671"/>
        </w:trPr>
        <w:tc>
          <w:tcPr>
            <w:tcW w:w="10359" w:type="dxa"/>
            <w:gridSpan w:val="3"/>
            <w:shd w:val="clear" w:color="auto" w:fill="auto"/>
          </w:tcPr>
          <w:p w:rsidR="00E03609" w:rsidRDefault="00446871">
            <w:pPr>
              <w:pStyle w:val="TableParagraph"/>
              <w:spacing w:before="56"/>
              <w:ind w:left="2559" w:right="189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E03609">
        <w:trPr>
          <w:trHeight w:val="395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5" w:type="dxa"/>
          </w:tcPr>
          <w:p w:rsidR="00E03609" w:rsidRDefault="00B54C3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11700, м. Новоград-Волинський, вулиця Соборності, 13</w:t>
            </w:r>
          </w:p>
        </w:tc>
      </w:tr>
      <w:tr w:rsidR="00E03609">
        <w:trPr>
          <w:trHeight w:val="1226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tabs>
                <w:tab w:val="left" w:pos="1518"/>
                <w:tab w:val="left" w:pos="2357"/>
              </w:tabs>
              <w:spacing w:before="54"/>
              <w:ind w:right="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5" w:type="dxa"/>
          </w:tcPr>
          <w:p w:rsidR="00E03609" w:rsidRDefault="00B54C34">
            <w:pPr>
              <w:pStyle w:val="TableParagraph"/>
              <w:spacing w:before="54"/>
              <w:ind w:left="69"/>
              <w:rPr>
                <w:sz w:val="24"/>
              </w:rPr>
            </w:pPr>
            <w:r>
              <w:rPr>
                <w:sz w:val="24"/>
              </w:rPr>
              <w:t>Понеділок-четвер: з 8.00 до 17.15;</w:t>
            </w:r>
          </w:p>
          <w:p w:rsidR="00B54C34" w:rsidRDefault="00B54C34">
            <w:pPr>
              <w:pStyle w:val="TableParagraph"/>
              <w:ind w:left="69" w:right="1576"/>
              <w:rPr>
                <w:sz w:val="24"/>
              </w:rPr>
            </w:pPr>
            <w:r>
              <w:rPr>
                <w:sz w:val="24"/>
              </w:rPr>
              <w:t>П’ятниця: з 8</w:t>
            </w:r>
            <w:r w:rsidR="00446871">
              <w:rPr>
                <w:sz w:val="24"/>
              </w:rPr>
              <w:t>.00 д</w:t>
            </w:r>
            <w:r w:rsidR="003A353F">
              <w:rPr>
                <w:sz w:val="24"/>
              </w:rPr>
              <w:t>о 16.00;</w:t>
            </w:r>
          </w:p>
          <w:p w:rsidR="003A353F" w:rsidRDefault="003A353F">
            <w:pPr>
              <w:pStyle w:val="TableParagraph"/>
              <w:ind w:left="69" w:right="1576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E03609" w:rsidRDefault="00E03609">
            <w:pPr>
              <w:pStyle w:val="TableParagraph"/>
              <w:ind w:left="69" w:right="1576"/>
              <w:rPr>
                <w:sz w:val="24"/>
              </w:rPr>
            </w:pPr>
          </w:p>
        </w:tc>
      </w:tr>
      <w:tr w:rsidR="00E03609">
        <w:trPr>
          <w:trHeight w:val="1487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tabs>
                <w:tab w:val="left" w:pos="2143"/>
              </w:tabs>
              <w:spacing w:before="5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45" w:type="dxa"/>
          </w:tcPr>
          <w:p w:rsidR="00DE184E" w:rsidRDefault="00446871" w:rsidP="00DE184E">
            <w:pPr>
              <w:pStyle w:val="TableParagraph"/>
              <w:spacing w:before="51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DE184E">
              <w:rPr>
                <w:sz w:val="24"/>
              </w:rPr>
              <w:t>тел. (04141) 3-53-55</w:t>
            </w:r>
          </w:p>
          <w:p w:rsidR="00DE184E" w:rsidRDefault="00DE184E" w:rsidP="00DE184E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DE184E" w:rsidRDefault="00DE184E" w:rsidP="00DE184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E03609" w:rsidRPr="00C22259" w:rsidRDefault="00E03609" w:rsidP="00DE184E">
            <w:pPr>
              <w:pStyle w:val="TableParagraph"/>
              <w:ind w:left="0"/>
              <w:rPr>
                <w:sz w:val="24"/>
              </w:rPr>
            </w:pPr>
          </w:p>
        </w:tc>
      </w:tr>
      <w:tr w:rsidR="00E03609" w:rsidTr="00C22259">
        <w:trPr>
          <w:trHeight w:val="395"/>
        </w:trPr>
        <w:tc>
          <w:tcPr>
            <w:tcW w:w="10359" w:type="dxa"/>
            <w:gridSpan w:val="3"/>
            <w:shd w:val="clear" w:color="auto" w:fill="auto"/>
          </w:tcPr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  <w:p w:rsidR="00E03609" w:rsidRDefault="00446871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  <w:p w:rsidR="0015522D" w:rsidRDefault="0015522D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</w:p>
        </w:tc>
      </w:tr>
      <w:tr w:rsidR="00E03609">
        <w:trPr>
          <w:trHeight w:val="673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4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03609" w:rsidTr="0015522D">
        <w:trPr>
          <w:cantSplit/>
          <w:trHeight w:val="671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572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3609">
        <w:trPr>
          <w:trHeight w:val="4536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2"/>
              <w:ind w:right="420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2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E03609" w:rsidRDefault="0044687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E03609" w:rsidRDefault="00446871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E03609" w:rsidRDefault="00446871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03609" w:rsidRDefault="00446871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E03609" w:rsidRDefault="0044687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03609" w:rsidTr="00C22259">
        <w:trPr>
          <w:trHeight w:val="395"/>
        </w:trPr>
        <w:tc>
          <w:tcPr>
            <w:tcW w:w="10359" w:type="dxa"/>
            <w:gridSpan w:val="3"/>
            <w:shd w:val="clear" w:color="auto" w:fill="auto"/>
          </w:tcPr>
          <w:p w:rsidR="00E03609" w:rsidRDefault="00446871">
            <w:pPr>
              <w:pStyle w:val="TableParagraph"/>
              <w:spacing w:before="56"/>
              <w:ind w:left="2735" w:right="2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E03609">
        <w:trPr>
          <w:trHeight w:val="671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494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firstLine="223"/>
              <w:rPr>
                <w:sz w:val="24"/>
              </w:rPr>
            </w:pPr>
            <w:r>
              <w:rPr>
                <w:sz w:val="24"/>
              </w:rPr>
              <w:t>Звернення юридичної особи або уповноваженої нею особи (далі – заявник)</w:t>
            </w:r>
          </w:p>
        </w:tc>
      </w:tr>
      <w:tr w:rsidR="00E03609">
        <w:trPr>
          <w:trHeight w:val="1225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E03609" w:rsidRDefault="00446871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4"/>
              <w:ind w:firstLine="216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відокремленого підрозділу;</w:t>
            </w:r>
          </w:p>
          <w:p w:rsidR="00E03609" w:rsidRDefault="00446871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 законодавства;</w:t>
            </w:r>
          </w:p>
        </w:tc>
      </w:tr>
      <w:tr w:rsidR="00E03609">
        <w:trPr>
          <w:trHeight w:val="6194"/>
        </w:trPr>
        <w:tc>
          <w:tcPr>
            <w:tcW w:w="502" w:type="dxa"/>
          </w:tcPr>
          <w:p w:rsidR="00E03609" w:rsidRDefault="00E03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 w:rsidR="00E03609" w:rsidRDefault="00E036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4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E03609" w:rsidRDefault="00446871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E03609" w:rsidRDefault="00446871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03609" w:rsidRDefault="00446871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03609" w:rsidRDefault="00446871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03609">
        <w:trPr>
          <w:trHeight w:val="1223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239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spacing w:before="51"/>
              <w:ind w:right="49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E03609" w:rsidRDefault="00446871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ind w:right="47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E03609">
        <w:trPr>
          <w:trHeight w:val="947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left="282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E03609">
        <w:trPr>
          <w:trHeight w:val="2603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2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E03609" w:rsidRDefault="00446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2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E03609" w:rsidRDefault="00446871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03609" w:rsidRDefault="00446871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03609">
        <w:trPr>
          <w:trHeight w:val="2603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1078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E03609" w:rsidRDefault="00446871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03609" w:rsidRDefault="00446871">
            <w:pPr>
              <w:pStyle w:val="TableParagraph"/>
              <w:spacing w:before="1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03609" w:rsidRDefault="00446871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03609">
        <w:trPr>
          <w:trHeight w:val="1501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4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4"/>
              <w:ind w:right="32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4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E03609" w:rsidRDefault="00446871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</w:tc>
      </w:tr>
      <w:tr w:rsidR="00E03609">
        <w:trPr>
          <w:trHeight w:val="5918"/>
        </w:trPr>
        <w:tc>
          <w:tcPr>
            <w:tcW w:w="502" w:type="dxa"/>
          </w:tcPr>
          <w:p w:rsidR="00E03609" w:rsidRDefault="00E03609">
            <w:pPr>
              <w:pStyle w:val="TableParagraph"/>
              <w:ind w:left="0"/>
            </w:pPr>
          </w:p>
        </w:tc>
        <w:tc>
          <w:tcPr>
            <w:tcW w:w="3212" w:type="dxa"/>
          </w:tcPr>
          <w:p w:rsidR="00E03609" w:rsidRDefault="00E03609">
            <w:pPr>
              <w:pStyle w:val="TableParagraph"/>
              <w:ind w:left="0"/>
            </w:pP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4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E03609" w:rsidRDefault="00446871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E03609" w:rsidRDefault="00446871">
            <w:pPr>
              <w:pStyle w:val="TableParagraph"/>
              <w:ind w:right="55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E03609" w:rsidRDefault="00446871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E03609" w:rsidRDefault="00446871">
            <w:pPr>
              <w:pStyle w:val="TableParagraph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03609">
        <w:trPr>
          <w:trHeight w:val="1499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E03609" w:rsidRDefault="00446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03609" w:rsidRDefault="00446871">
            <w:pPr>
              <w:pStyle w:val="TableParagraph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03609">
        <w:trPr>
          <w:trHeight w:val="2327"/>
        </w:trPr>
        <w:tc>
          <w:tcPr>
            <w:tcW w:w="502" w:type="dxa"/>
          </w:tcPr>
          <w:p w:rsidR="00E03609" w:rsidRDefault="00446871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212" w:type="dxa"/>
          </w:tcPr>
          <w:p w:rsidR="00E03609" w:rsidRDefault="00446871">
            <w:pPr>
              <w:pStyle w:val="TableParagraph"/>
              <w:spacing w:before="51"/>
              <w:ind w:right="94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E03609" w:rsidRDefault="00446871">
            <w:pPr>
              <w:pStyle w:val="TableParagraph"/>
              <w:spacing w:before="5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E03609" w:rsidRDefault="00446871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03609" w:rsidRDefault="00446871">
      <w:pPr>
        <w:spacing w:line="157" w:lineRule="exact"/>
        <w:ind w:left="257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Default="00DA223A">
      <w:pPr>
        <w:spacing w:line="157" w:lineRule="exact"/>
        <w:ind w:left="257"/>
        <w:rPr>
          <w:sz w:val="14"/>
        </w:rPr>
      </w:pPr>
    </w:p>
    <w:p w:rsidR="00DA223A" w:rsidRPr="00112E92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>ТЕХНОЛОГІЧНА КАРТКА</w:t>
      </w:r>
    </w:p>
    <w:p w:rsidR="00DA223A" w:rsidRPr="00112E92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6F3015">
        <w:rPr>
          <w:b/>
          <w:sz w:val="24"/>
          <w:szCs w:val="24"/>
          <w:lang w:eastAsia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6F3015">
        <w:rPr>
          <w:b/>
          <w:sz w:val="24"/>
          <w:szCs w:val="24"/>
          <w:lang w:eastAsia="uk-UA"/>
        </w:rPr>
        <w:t>Джерело: https://guide.diia.gov.ua/register/00092/</w:t>
      </w: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6F3015">
        <w:rPr>
          <w:b/>
          <w:sz w:val="24"/>
          <w:szCs w:val="24"/>
          <w:lang w:eastAsia="uk-UA"/>
        </w:rPr>
        <w:t xml:space="preserve">© </w:t>
      </w:r>
      <w:proofErr w:type="spellStart"/>
      <w:r w:rsidRPr="006F3015">
        <w:rPr>
          <w:b/>
          <w:sz w:val="24"/>
          <w:szCs w:val="24"/>
          <w:lang w:eastAsia="uk-UA"/>
        </w:rPr>
        <w:t>Дiя</w:t>
      </w:r>
      <w:proofErr w:type="spellEnd"/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6F3015">
        <w:rPr>
          <w:b/>
          <w:sz w:val="24"/>
          <w:szCs w:val="24"/>
          <w:lang w:eastAsia="uk-UA"/>
        </w:rPr>
        <w:t>Ідентифікатор послуги: 00092</w:t>
      </w:r>
    </w:p>
    <w:p w:rsidR="00DA223A" w:rsidRPr="006F3015" w:rsidRDefault="00DA223A" w:rsidP="00DA223A">
      <w:pPr>
        <w:jc w:val="center"/>
        <w:rPr>
          <w:b/>
          <w:sz w:val="24"/>
          <w:szCs w:val="24"/>
          <w:lang w:eastAsia="uk-UA"/>
        </w:rPr>
      </w:pPr>
    </w:p>
    <w:p w:rsidR="00DA223A" w:rsidRPr="00112E92" w:rsidRDefault="00DA223A" w:rsidP="00DA223A">
      <w:pPr>
        <w:jc w:val="center"/>
        <w:rPr>
          <w:b/>
          <w:sz w:val="24"/>
          <w:szCs w:val="24"/>
          <w:lang w:eastAsia="uk-UA"/>
        </w:rPr>
      </w:pPr>
      <w:r w:rsidRPr="006F3015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p w:rsidR="00DA223A" w:rsidRPr="00112E92" w:rsidRDefault="00DA223A" w:rsidP="00DA223A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2"/>
        <w:gridCol w:w="3361"/>
        <w:gridCol w:w="2446"/>
        <w:gridCol w:w="2446"/>
        <w:gridCol w:w="1955"/>
      </w:tblGrid>
      <w:tr w:rsidR="00DA223A" w:rsidRPr="00112E92" w:rsidTr="006F5684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112E92">
              <w:rPr>
                <w:b/>
                <w:sz w:val="24"/>
                <w:szCs w:val="24"/>
                <w:lang w:eastAsia="uk-UA"/>
              </w:rPr>
              <w:t>№</w:t>
            </w:r>
          </w:p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112E92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DA223A" w:rsidRPr="00112E92" w:rsidTr="006F5684">
        <w:trPr>
          <w:trHeight w:val="615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DA223A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>юридичної осо</w:t>
            </w:r>
            <w:r>
              <w:rPr>
                <w:b/>
                <w:sz w:val="24"/>
                <w:szCs w:val="24"/>
                <w:lang w:eastAsia="uk-UA"/>
              </w:rPr>
              <w:t xml:space="preserve">би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223A" w:rsidRPr="00112E92" w:rsidTr="006F5684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DA223A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</w:t>
            </w:r>
            <w:r>
              <w:rPr>
                <w:b/>
                <w:sz w:val="24"/>
                <w:szCs w:val="24"/>
                <w:lang w:eastAsia="uk-UA"/>
              </w:rPr>
              <w:t>бо уповноваженій ним особі примірника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юридичної особи з відміткою про дату надходження документів для проведення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>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223A" w:rsidRPr="00112E92" w:rsidTr="006F5684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DA223A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223A" w:rsidRPr="00112E92" w:rsidTr="006F5684">
        <w:trPr>
          <w:trHeight w:val="1982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223A" w:rsidRPr="00112E92" w:rsidTr="006F5684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F301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3015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223A" w:rsidRPr="00112E92" w:rsidTr="006F5684">
        <w:trPr>
          <w:trHeight w:val="141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Опрацювання заяви про державну реєстрацію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юридичної особи на підставі заяви – у разі відсутності підстав для відмови у проведенні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>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A223A" w:rsidRPr="00112E92" w:rsidTr="006F5684">
        <w:trPr>
          <w:trHeight w:val="1320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A223A" w:rsidRPr="00112E92" w:rsidTr="006F5684">
        <w:trPr>
          <w:trHeight w:val="688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юридичної особи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223A" w:rsidRPr="00112E92" w:rsidRDefault="00DA223A" w:rsidP="006F56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223A" w:rsidRPr="00112E92" w:rsidRDefault="00DA223A" w:rsidP="006F5684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DA223A" w:rsidRPr="00112E92" w:rsidRDefault="00DA223A" w:rsidP="00DA223A">
      <w:pPr>
        <w:rPr>
          <w:sz w:val="24"/>
          <w:szCs w:val="24"/>
        </w:rPr>
      </w:pPr>
      <w:bookmarkStart w:id="1" w:name="n29"/>
      <w:bookmarkEnd w:id="1"/>
    </w:p>
    <w:p w:rsidR="00DA223A" w:rsidRPr="00112E92" w:rsidRDefault="00DA223A" w:rsidP="00DA223A">
      <w:pPr>
        <w:rPr>
          <w:b/>
          <w:sz w:val="24"/>
          <w:szCs w:val="24"/>
        </w:rPr>
      </w:pPr>
      <w:r w:rsidRPr="00112E92">
        <w:rPr>
          <w:b/>
          <w:sz w:val="24"/>
          <w:szCs w:val="24"/>
        </w:rPr>
        <w:t xml:space="preserve">      </w:t>
      </w:r>
    </w:p>
    <w:p w:rsidR="001B77FE" w:rsidRDefault="001B77FE" w:rsidP="001B77FE">
      <w:pPr>
        <w:ind w:hanging="142"/>
        <w:rPr>
          <w:sz w:val="24"/>
          <w:szCs w:val="24"/>
        </w:rPr>
      </w:pPr>
    </w:p>
    <w:p w:rsidR="001B77FE" w:rsidRDefault="001B77FE" w:rsidP="001B77FE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1B77FE" w:rsidRDefault="001B77FE" w:rsidP="001B77FE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1B77FE" w:rsidRDefault="001B77FE" w:rsidP="001B77FE">
      <w:pPr>
        <w:rPr>
          <w:sz w:val="24"/>
          <w:szCs w:val="24"/>
        </w:rPr>
      </w:pPr>
    </w:p>
    <w:p w:rsidR="001B77FE" w:rsidRDefault="001B77FE" w:rsidP="001B77FE">
      <w:pPr>
        <w:rPr>
          <w:sz w:val="28"/>
          <w:szCs w:val="28"/>
        </w:rPr>
      </w:pPr>
    </w:p>
    <w:p w:rsidR="00DA223A" w:rsidRPr="00112E92" w:rsidRDefault="00DA223A" w:rsidP="00DA223A">
      <w:pPr>
        <w:rPr>
          <w:b/>
          <w:sz w:val="24"/>
          <w:szCs w:val="24"/>
        </w:rPr>
      </w:pPr>
      <w:bookmarkStart w:id="2" w:name="_GoBack"/>
      <w:bookmarkEnd w:id="2"/>
    </w:p>
    <w:p w:rsidR="00DA223A" w:rsidRPr="00112E92" w:rsidRDefault="00DA223A" w:rsidP="00DA223A">
      <w:pPr>
        <w:ind w:firstLine="708"/>
        <w:rPr>
          <w:sz w:val="24"/>
          <w:szCs w:val="24"/>
        </w:rPr>
      </w:pPr>
      <w:r w:rsidRPr="00112E92">
        <w:rPr>
          <w:b/>
          <w:sz w:val="24"/>
          <w:szCs w:val="24"/>
        </w:rPr>
        <w:t xml:space="preserve"> </w:t>
      </w:r>
    </w:p>
    <w:p w:rsidR="00DA223A" w:rsidRDefault="00DA223A">
      <w:pPr>
        <w:spacing w:line="157" w:lineRule="exact"/>
        <w:ind w:left="257"/>
        <w:rPr>
          <w:sz w:val="14"/>
        </w:rPr>
      </w:pPr>
    </w:p>
    <w:sectPr w:rsidR="00DA223A" w:rsidSect="00E03609">
      <w:headerReference w:type="default" r:id="rId8"/>
      <w:pgSz w:w="11910" w:h="16840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AC" w:rsidRDefault="004C5CAC" w:rsidP="00E03609">
      <w:r>
        <w:separator/>
      </w:r>
    </w:p>
  </w:endnote>
  <w:endnote w:type="continuationSeparator" w:id="0">
    <w:p w:rsidR="004C5CAC" w:rsidRDefault="004C5CAC" w:rsidP="00E0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AC" w:rsidRDefault="004C5CAC" w:rsidP="00E03609">
      <w:r>
        <w:separator/>
      </w:r>
    </w:p>
  </w:footnote>
  <w:footnote w:type="continuationSeparator" w:id="0">
    <w:p w:rsidR="004C5CAC" w:rsidRDefault="004C5CAC" w:rsidP="00E0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09" w:rsidRDefault="00015B88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609" w:rsidRDefault="00E0360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46871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77FE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IiSM4/eAAAACQEAAA8AAAAA&#10;AAAAAAAAAAAABQUAAGRycy9kb3ducmV2LnhtbFBLBQYAAAAABAAEAPMAAAAQBgAAAAA=&#10;" filled="f" stroked="f">
              <v:textbox inset="0,0,0,0">
                <w:txbxContent>
                  <w:p w:rsidR="00E03609" w:rsidRDefault="00E0360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46871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77FE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3065F2"/>
    <w:multiLevelType w:val="hybridMultilevel"/>
    <w:tmpl w:val="8C5657BE"/>
    <w:lvl w:ilvl="0" w:tplc="A488A1E2">
      <w:start w:val="1"/>
      <w:numFmt w:val="decimal"/>
      <w:lvlText w:val="%1."/>
      <w:lvlJc w:val="left"/>
      <w:pPr>
        <w:ind w:left="59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C95C8670">
      <w:numFmt w:val="bullet"/>
      <w:lvlText w:val="•"/>
      <w:lvlJc w:val="left"/>
      <w:pPr>
        <w:ind w:left="717" w:hanging="358"/>
      </w:pPr>
      <w:rPr>
        <w:rFonts w:hint="default"/>
        <w:lang w:val="uk-UA" w:eastAsia="en-US" w:bidi="ar-SA"/>
      </w:rPr>
    </w:lvl>
    <w:lvl w:ilvl="2" w:tplc="F86C008A">
      <w:numFmt w:val="bullet"/>
      <w:lvlText w:val="•"/>
      <w:lvlJc w:val="left"/>
      <w:pPr>
        <w:ind w:left="1374" w:hanging="358"/>
      </w:pPr>
      <w:rPr>
        <w:rFonts w:hint="default"/>
        <w:lang w:val="uk-UA" w:eastAsia="en-US" w:bidi="ar-SA"/>
      </w:rPr>
    </w:lvl>
    <w:lvl w:ilvl="3" w:tplc="21A8AC2E">
      <w:numFmt w:val="bullet"/>
      <w:lvlText w:val="•"/>
      <w:lvlJc w:val="left"/>
      <w:pPr>
        <w:ind w:left="2031" w:hanging="358"/>
      </w:pPr>
      <w:rPr>
        <w:rFonts w:hint="default"/>
        <w:lang w:val="uk-UA" w:eastAsia="en-US" w:bidi="ar-SA"/>
      </w:rPr>
    </w:lvl>
    <w:lvl w:ilvl="4" w:tplc="ED42A6FC">
      <w:numFmt w:val="bullet"/>
      <w:lvlText w:val="•"/>
      <w:lvlJc w:val="left"/>
      <w:pPr>
        <w:ind w:left="2688" w:hanging="358"/>
      </w:pPr>
      <w:rPr>
        <w:rFonts w:hint="default"/>
        <w:lang w:val="uk-UA" w:eastAsia="en-US" w:bidi="ar-SA"/>
      </w:rPr>
    </w:lvl>
    <w:lvl w:ilvl="5" w:tplc="8C94AECA">
      <w:numFmt w:val="bullet"/>
      <w:lvlText w:val="•"/>
      <w:lvlJc w:val="left"/>
      <w:pPr>
        <w:ind w:left="3345" w:hanging="358"/>
      </w:pPr>
      <w:rPr>
        <w:rFonts w:hint="default"/>
        <w:lang w:val="uk-UA" w:eastAsia="en-US" w:bidi="ar-SA"/>
      </w:rPr>
    </w:lvl>
    <w:lvl w:ilvl="6" w:tplc="1DB894CE">
      <w:numFmt w:val="bullet"/>
      <w:lvlText w:val="•"/>
      <w:lvlJc w:val="left"/>
      <w:pPr>
        <w:ind w:left="4002" w:hanging="358"/>
      </w:pPr>
      <w:rPr>
        <w:rFonts w:hint="default"/>
        <w:lang w:val="uk-UA" w:eastAsia="en-US" w:bidi="ar-SA"/>
      </w:rPr>
    </w:lvl>
    <w:lvl w:ilvl="7" w:tplc="0C50B69C">
      <w:numFmt w:val="bullet"/>
      <w:lvlText w:val="•"/>
      <w:lvlJc w:val="left"/>
      <w:pPr>
        <w:ind w:left="4659" w:hanging="358"/>
      </w:pPr>
      <w:rPr>
        <w:rFonts w:hint="default"/>
        <w:lang w:val="uk-UA" w:eastAsia="en-US" w:bidi="ar-SA"/>
      </w:rPr>
    </w:lvl>
    <w:lvl w:ilvl="8" w:tplc="F476FC66">
      <w:numFmt w:val="bullet"/>
      <w:lvlText w:val="•"/>
      <w:lvlJc w:val="left"/>
      <w:pPr>
        <w:ind w:left="5316" w:hanging="35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9"/>
    <w:rsid w:val="00015B88"/>
    <w:rsid w:val="0015522D"/>
    <w:rsid w:val="001B77FE"/>
    <w:rsid w:val="00347DC4"/>
    <w:rsid w:val="003A353F"/>
    <w:rsid w:val="00444205"/>
    <w:rsid w:val="00446871"/>
    <w:rsid w:val="004C5CAC"/>
    <w:rsid w:val="00502243"/>
    <w:rsid w:val="00672410"/>
    <w:rsid w:val="00744973"/>
    <w:rsid w:val="00B54C34"/>
    <w:rsid w:val="00C22259"/>
    <w:rsid w:val="00DA223A"/>
    <w:rsid w:val="00DE184E"/>
    <w:rsid w:val="00E03609"/>
    <w:rsid w:val="00E81A2B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60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3609"/>
  </w:style>
  <w:style w:type="paragraph" w:customStyle="1" w:styleId="TableParagraph">
    <w:name w:val="Table Paragraph"/>
    <w:basedOn w:val="a"/>
    <w:uiPriority w:val="1"/>
    <w:qFormat/>
    <w:rsid w:val="00E03609"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B5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34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DA223A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6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60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3609"/>
  </w:style>
  <w:style w:type="paragraph" w:customStyle="1" w:styleId="TableParagraph">
    <w:name w:val="Table Paragraph"/>
    <w:basedOn w:val="a"/>
    <w:uiPriority w:val="1"/>
    <w:qFormat/>
    <w:rsid w:val="00E03609"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B5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34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DA223A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7156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2021-01-11T08:20:00Z</cp:lastPrinted>
  <dcterms:created xsi:type="dcterms:W3CDTF">2021-11-10T21:17:00Z</dcterms:created>
  <dcterms:modified xsi:type="dcterms:W3CDTF">2021-11-10T21:17:00Z</dcterms:modified>
</cp:coreProperties>
</file>