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81" w:rsidRPr="003F2081" w:rsidRDefault="003F2081" w:rsidP="00E5791E">
      <w:pPr>
        <w:tabs>
          <w:tab w:val="left" w:pos="114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F20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="00AD5B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F20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081" w:rsidRPr="000B3A9E" w:rsidRDefault="003F2081" w:rsidP="003F2081">
      <w:pPr>
        <w:tabs>
          <w:tab w:val="left" w:pos="57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0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0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0B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ОПЕРАЦІЙНИЙ ПЛАН </w:t>
      </w:r>
    </w:p>
    <w:p w:rsidR="003F2081" w:rsidRDefault="003F2081" w:rsidP="003F2081">
      <w:pPr>
        <w:tabs>
          <w:tab w:val="left" w:pos="57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30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0B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7C3D95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0B3A9E">
        <w:rPr>
          <w:rFonts w:ascii="Times New Roman" w:hAnsi="Times New Roman" w:cs="Times New Roman"/>
          <w:b/>
          <w:sz w:val="28"/>
          <w:szCs w:val="28"/>
          <w:lang w:val="uk-UA"/>
        </w:rPr>
        <w:t>іяльності відділу внутрішнього  аудиту</w:t>
      </w:r>
    </w:p>
    <w:p w:rsidR="00161BF9" w:rsidRPr="000B3A9E" w:rsidRDefault="00161BF9" w:rsidP="00161BF9">
      <w:pPr>
        <w:tabs>
          <w:tab w:val="left" w:pos="73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="00CB7421">
        <w:rPr>
          <w:rFonts w:ascii="Times New Roman" w:hAnsi="Times New Roman" w:cs="Times New Roman"/>
          <w:b/>
          <w:sz w:val="28"/>
          <w:szCs w:val="28"/>
          <w:lang w:val="uk-UA"/>
        </w:rPr>
        <w:t>Звягельської</w:t>
      </w:r>
      <w:r w:rsidR="006A2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</w:p>
    <w:p w:rsidR="003F2081" w:rsidRPr="000B3A9E" w:rsidRDefault="003F2081" w:rsidP="003F2081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A9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30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B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 202</w:t>
      </w:r>
      <w:r w:rsidR="002B7B0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B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963F34" w:rsidRPr="003F2081" w:rsidRDefault="0021508C" w:rsidP="00663D46">
      <w:pPr>
        <w:tabs>
          <w:tab w:val="left" w:pos="64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F2081">
        <w:rPr>
          <w:rFonts w:ascii="Times New Roman" w:hAnsi="Times New Roman" w:cs="Times New Roman"/>
          <w:sz w:val="28"/>
          <w:szCs w:val="28"/>
          <w:lang w:val="uk-UA"/>
        </w:rPr>
        <w:t xml:space="preserve"> Операційний план діяльності відділу внутрішнього аудиту</w:t>
      </w:r>
      <w:r w:rsidR="00CC798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3F2081">
        <w:rPr>
          <w:rFonts w:ascii="Times New Roman" w:hAnsi="Times New Roman" w:cs="Times New Roman"/>
          <w:sz w:val="28"/>
          <w:szCs w:val="28"/>
          <w:lang w:val="uk-UA"/>
        </w:rPr>
        <w:t xml:space="preserve"> слугує деталізації стратегічних напрямків проведення перевірок (внутрішнього аудиту) на  виконання Стратегічного п</w:t>
      </w:r>
      <w:r w:rsidR="00C76B2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F2081">
        <w:rPr>
          <w:rFonts w:ascii="Times New Roman" w:hAnsi="Times New Roman" w:cs="Times New Roman"/>
          <w:sz w:val="28"/>
          <w:szCs w:val="28"/>
          <w:lang w:val="uk-UA"/>
        </w:rPr>
        <w:t xml:space="preserve">ану діяльності  відділу внутрішнього аудиту </w:t>
      </w:r>
      <w:r w:rsidR="00CB7421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r w:rsidR="006A2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08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на </w:t>
      </w:r>
      <w:r w:rsidR="006A2A5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B7B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2081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B7B0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F2081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0E1A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2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F34">
        <w:rPr>
          <w:rFonts w:ascii="Times New Roman" w:hAnsi="Times New Roman" w:cs="Times New Roman"/>
          <w:sz w:val="28"/>
          <w:szCs w:val="28"/>
          <w:lang w:val="uk-UA"/>
        </w:rPr>
        <w:t>затвердженого</w:t>
      </w:r>
      <w:r w:rsidR="007C3D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36A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міського голови від </w:t>
      </w:r>
      <w:r w:rsidR="00663D46">
        <w:rPr>
          <w:rFonts w:ascii="Times New Roman" w:hAnsi="Times New Roman" w:cs="Times New Roman"/>
          <w:sz w:val="28"/>
          <w:szCs w:val="28"/>
          <w:lang w:val="uk-UA"/>
        </w:rPr>
        <w:t xml:space="preserve">26 грудня </w:t>
      </w:r>
      <w:r w:rsidR="006A2A5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B7B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3F3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63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6A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63D46">
        <w:rPr>
          <w:rFonts w:ascii="Times New Roman" w:hAnsi="Times New Roman" w:cs="Times New Roman"/>
          <w:sz w:val="28"/>
          <w:szCs w:val="28"/>
          <w:lang w:val="uk-UA"/>
        </w:rPr>
        <w:t xml:space="preserve">382 а також </w:t>
      </w:r>
      <w:r w:rsidR="00663D46" w:rsidRPr="00663D46">
        <w:rPr>
          <w:rFonts w:ascii="Times New Roman" w:hAnsi="Times New Roman" w:cs="Times New Roman"/>
          <w:sz w:val="28"/>
          <w:szCs w:val="28"/>
          <w:lang w:val="uk-UA"/>
        </w:rPr>
        <w:t>Порядку  організації та функціонування</w:t>
      </w:r>
      <w:r w:rsidR="00663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D46" w:rsidRPr="00663D46">
        <w:rPr>
          <w:rFonts w:ascii="Times New Roman" w:hAnsi="Times New Roman" w:cs="Times New Roman"/>
          <w:sz w:val="28"/>
          <w:szCs w:val="28"/>
          <w:lang w:val="uk-UA"/>
        </w:rPr>
        <w:t xml:space="preserve">системи управління ризиками у </w:t>
      </w:r>
      <w:r w:rsidR="00663D46">
        <w:rPr>
          <w:rFonts w:ascii="Times New Roman" w:hAnsi="Times New Roman" w:cs="Times New Roman"/>
          <w:sz w:val="28"/>
          <w:szCs w:val="28"/>
          <w:lang w:val="uk-UA"/>
        </w:rPr>
        <w:t xml:space="preserve">розпорядників бюджетних коштів, </w:t>
      </w:r>
      <w:r w:rsidR="00663D46" w:rsidRPr="00663D46">
        <w:rPr>
          <w:rFonts w:ascii="Times New Roman" w:hAnsi="Times New Roman" w:cs="Times New Roman"/>
          <w:sz w:val="28"/>
          <w:szCs w:val="28"/>
          <w:lang w:val="uk-UA"/>
        </w:rPr>
        <w:t>підприємств, установ і організацій</w:t>
      </w:r>
      <w:r w:rsidR="00663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D46" w:rsidRPr="00663D46">
        <w:rPr>
          <w:rFonts w:ascii="Times New Roman" w:hAnsi="Times New Roman" w:cs="Times New Roman"/>
          <w:sz w:val="28"/>
          <w:szCs w:val="28"/>
          <w:lang w:val="uk-UA"/>
        </w:rPr>
        <w:t xml:space="preserve">   Звягельської міської ради  на 2024-2026 роки</w:t>
      </w:r>
      <w:r w:rsidR="00663D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7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D46" w:rsidRPr="00663D46">
        <w:rPr>
          <w:rFonts w:ascii="Times New Roman" w:hAnsi="Times New Roman" w:cs="Times New Roman"/>
          <w:sz w:val="28"/>
          <w:szCs w:val="28"/>
          <w:lang w:val="uk-UA"/>
        </w:rPr>
        <w:t>затвердженого  розпорядженням міського голови</w:t>
      </w:r>
      <w:r w:rsidR="003F2081" w:rsidRPr="00663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D4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63D46" w:rsidRPr="00663D46">
        <w:rPr>
          <w:rFonts w:ascii="Times New Roman" w:hAnsi="Times New Roman" w:cs="Times New Roman"/>
          <w:sz w:val="28"/>
          <w:szCs w:val="28"/>
          <w:lang w:val="uk-UA"/>
        </w:rPr>
        <w:t>26 грудня 2023 року  № 38</w:t>
      </w:r>
      <w:r w:rsidR="00663D46">
        <w:rPr>
          <w:rFonts w:ascii="Times New Roman" w:hAnsi="Times New Roman" w:cs="Times New Roman"/>
          <w:sz w:val="28"/>
          <w:szCs w:val="28"/>
          <w:lang w:val="uk-UA"/>
        </w:rPr>
        <w:t xml:space="preserve">1 з </w:t>
      </w:r>
      <w:r w:rsidR="00663D46" w:rsidRPr="00663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081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D636A5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</w:t>
      </w:r>
      <w:r w:rsidR="003F2081">
        <w:rPr>
          <w:rFonts w:ascii="Times New Roman" w:hAnsi="Times New Roman" w:cs="Times New Roman"/>
          <w:sz w:val="28"/>
          <w:szCs w:val="28"/>
          <w:lang w:val="uk-UA"/>
        </w:rPr>
        <w:t>посилення  фундаментальних засад компетентності і старанності при урядуванні</w:t>
      </w:r>
      <w:r w:rsidR="00D636A5">
        <w:rPr>
          <w:rFonts w:ascii="Times New Roman" w:hAnsi="Times New Roman" w:cs="Times New Roman"/>
          <w:sz w:val="28"/>
          <w:szCs w:val="28"/>
          <w:lang w:val="uk-UA"/>
        </w:rPr>
        <w:t xml:space="preserve"> та на основі досвіду і бази діяльності з внутрішнього аудиту в </w:t>
      </w:r>
      <w:r w:rsidR="006A2A5D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D63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B0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A2A5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B7B03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D636A5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6A2A5D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963F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3489"/>
        <w:gridCol w:w="3287"/>
        <w:gridCol w:w="4073"/>
        <w:gridCol w:w="2882"/>
        <w:gridCol w:w="2155"/>
      </w:tblGrid>
      <w:tr w:rsidR="000B3A9E" w:rsidTr="000B3A9E">
        <w:tc>
          <w:tcPr>
            <w:tcW w:w="458" w:type="dxa"/>
          </w:tcPr>
          <w:p w:rsidR="00963F34" w:rsidRPr="000B3A9E" w:rsidRDefault="00963F34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A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489" w:type="dxa"/>
          </w:tcPr>
          <w:p w:rsidR="00963F34" w:rsidRPr="000B3A9E" w:rsidRDefault="000B3A9E" w:rsidP="000B3A9E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A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</w:t>
            </w:r>
            <w:r w:rsidR="00963F34" w:rsidRPr="000B3A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внутрішнього </w:t>
            </w:r>
            <w:r w:rsidRPr="000B3A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аудиту</w:t>
            </w:r>
            <w:r w:rsidR="002435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A233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35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287" w:type="dxa"/>
          </w:tcPr>
          <w:p w:rsidR="00963F34" w:rsidRPr="000B3A9E" w:rsidRDefault="000B3A9E" w:rsidP="0024350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3A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Підстава для включення об’єкта</w:t>
            </w:r>
            <w:r w:rsidR="002435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B3A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внутрішнього аудиту</w:t>
            </w:r>
            <w:r w:rsidR="00BB44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435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B44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(Стратегічний план)</w:t>
            </w:r>
            <w:r w:rsidR="002435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інше</w:t>
            </w:r>
          </w:p>
        </w:tc>
        <w:tc>
          <w:tcPr>
            <w:tcW w:w="4073" w:type="dxa"/>
          </w:tcPr>
          <w:p w:rsidR="00BB4415" w:rsidRDefault="00BB4415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63F34" w:rsidRPr="000B3A9E" w:rsidRDefault="000B3A9E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Операційне завдання</w:t>
            </w:r>
            <w:r w:rsidR="00BB44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деталізоване</w:t>
            </w:r>
          </w:p>
        </w:tc>
        <w:tc>
          <w:tcPr>
            <w:tcW w:w="2882" w:type="dxa"/>
          </w:tcPr>
          <w:p w:rsidR="00963F34" w:rsidRPr="000B3A9E" w:rsidRDefault="000B3A9E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Простір внутрішнього аудиту</w:t>
            </w:r>
            <w:r w:rsidR="002435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інше</w:t>
            </w:r>
          </w:p>
        </w:tc>
        <w:tc>
          <w:tcPr>
            <w:tcW w:w="2155" w:type="dxa"/>
          </w:tcPr>
          <w:p w:rsidR="00963F34" w:rsidRPr="000B3A9E" w:rsidRDefault="000B3A9E" w:rsidP="006C3412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Період охоплення/</w:t>
            </w:r>
            <w:r w:rsidR="006C3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C34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проведення</w:t>
            </w:r>
          </w:p>
        </w:tc>
      </w:tr>
      <w:tr w:rsidR="000A3321" w:rsidRPr="000A3321" w:rsidTr="000B3A9E">
        <w:tc>
          <w:tcPr>
            <w:tcW w:w="458" w:type="dxa"/>
          </w:tcPr>
          <w:p w:rsidR="000A3321" w:rsidRPr="000B3A9E" w:rsidRDefault="000A3321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0A3321" w:rsidRPr="00243501" w:rsidRDefault="006A2A5D" w:rsidP="000A332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="00243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0A3321" w:rsidRPr="00243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пераційного плану діяльності відділу внутрішнього аудиту міської ради а також Програми забезпечення та підвищення якості внутрішнього аудиту</w:t>
            </w:r>
          </w:p>
        </w:tc>
        <w:tc>
          <w:tcPr>
            <w:tcW w:w="3287" w:type="dxa"/>
          </w:tcPr>
          <w:p w:rsidR="000A3321" w:rsidRDefault="00010C29" w:rsidP="00010C2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 внутрішнього аудиту затверджені наказом Мінфіну від 04.10.2011 № 1247</w:t>
            </w:r>
          </w:p>
          <w:p w:rsidR="00D36431" w:rsidRDefault="00D36431" w:rsidP="00010C2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6431" w:rsidRPr="00243501" w:rsidRDefault="00D36431" w:rsidP="00663D46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Зміни </w:t>
            </w:r>
            <w:r w:rsidRPr="00D36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 12.01.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D36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Постанови КМУ від </w:t>
            </w:r>
            <w:r w:rsidRPr="00D36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 вересня 2011 р. № 1001</w:t>
            </w:r>
            <w:r w:rsidR="00663D46">
              <w:t xml:space="preserve"> </w:t>
            </w:r>
            <w:r w:rsidR="00663D46">
              <w:rPr>
                <w:lang w:val="uk-UA"/>
              </w:rPr>
              <w:t xml:space="preserve"> </w:t>
            </w:r>
            <w:r w:rsidR="00663D46" w:rsidRPr="00663D46">
              <w:rPr>
                <w:rFonts w:ascii="Times New Roman" w:hAnsi="Times New Roman" w:cs="Times New Roman"/>
                <w:lang w:val="uk-UA"/>
              </w:rPr>
              <w:t>в</w:t>
            </w:r>
            <w:r w:rsidR="00663D46">
              <w:rPr>
                <w:lang w:val="uk-UA"/>
              </w:rPr>
              <w:t xml:space="preserve"> р</w:t>
            </w:r>
            <w:r w:rsidR="00663D46" w:rsidRPr="00663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едакці</w:t>
            </w:r>
            <w:r w:rsidR="00663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663D46" w:rsidRPr="00663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01.01.2023</w:t>
            </w:r>
            <w:r w:rsidR="00663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073" w:type="dxa"/>
          </w:tcPr>
          <w:p w:rsidR="000A3321" w:rsidRDefault="00010C29" w:rsidP="0024350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надання відповідних рекомендацій щодо системи управління</w:t>
            </w:r>
            <w:r w:rsidR="00243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10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врахува</w:t>
            </w:r>
            <w:r w:rsidR="00243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</w:t>
            </w:r>
            <w:r w:rsidRPr="00010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ефективності управління діяльністю, ступеня виконання і досягнення визначених цілей, якості виконання відповідних завдань та функцій, що стосуют</w:t>
            </w:r>
            <w:r w:rsidR="00243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ься роботи відділу внутрішнього аудиту</w:t>
            </w:r>
          </w:p>
          <w:p w:rsidR="006C3412" w:rsidRDefault="006C3412" w:rsidP="0024350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24350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Узгодження з депутатами Звягельської міської ради</w:t>
            </w:r>
          </w:p>
          <w:p w:rsidR="006C3412" w:rsidRDefault="006C3412" w:rsidP="0024350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3501" w:rsidRDefault="00243501" w:rsidP="0024350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3501" w:rsidRDefault="00243501" w:rsidP="0024350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Якість моніторингу </w:t>
            </w:r>
            <w:r w:rsidRPr="00243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рекомендацій за актами внутрішнього аудиту</w:t>
            </w:r>
          </w:p>
          <w:p w:rsidR="00243501" w:rsidRDefault="00243501" w:rsidP="0024350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3501" w:rsidRDefault="00243501" w:rsidP="0024350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243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ослідження та оцінка системи управління та внутрішнього контролю, у тому числі управління ризиками </w:t>
            </w:r>
          </w:p>
          <w:p w:rsidR="00D36431" w:rsidRDefault="00D36431" w:rsidP="0024350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6431" w:rsidRPr="00010C29" w:rsidRDefault="006C3412" w:rsidP="006C3412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можливості доцільної </w:t>
            </w:r>
            <w:r w:rsidR="00D36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сертифікації спеціалістів з внутрішнього аудиту</w:t>
            </w:r>
          </w:p>
        </w:tc>
        <w:tc>
          <w:tcPr>
            <w:tcW w:w="2882" w:type="dxa"/>
          </w:tcPr>
          <w:p w:rsidR="000A3321" w:rsidRPr="00A233C2" w:rsidRDefault="00243501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внутрішнього аудиту</w:t>
            </w:r>
            <w:r w:rsidR="00C76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2155" w:type="dxa"/>
          </w:tcPr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3412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321" w:rsidRPr="00A233C2" w:rsidRDefault="00A233C2" w:rsidP="00663D46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43501" w:rsidRPr="00A23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ічень 202</w:t>
            </w:r>
            <w:r w:rsidR="00663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B5AD3" w:rsidRPr="005B5AD3" w:rsidTr="000B3A9E">
        <w:tc>
          <w:tcPr>
            <w:tcW w:w="458" w:type="dxa"/>
          </w:tcPr>
          <w:p w:rsidR="005B5AD3" w:rsidRPr="000B3A9E" w:rsidRDefault="005B5AD3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5B5AD3" w:rsidRDefault="005B5AD3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завершальних процедурах з введення в експлуатацію приміщення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 w:rsidR="00AF3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Шевченка -20</w:t>
            </w:r>
            <w:r w:rsidR="00663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,участь у напрацюванні </w:t>
            </w:r>
            <w:r w:rsid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наступних (повторних) </w:t>
            </w:r>
            <w:r w:rsidR="00663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позовів до суду тощо</w:t>
            </w:r>
            <w:r w:rsidR="00AF3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(«Прозорий офіс)</w:t>
            </w:r>
          </w:p>
        </w:tc>
        <w:tc>
          <w:tcPr>
            <w:tcW w:w="3287" w:type="dxa"/>
          </w:tcPr>
          <w:p w:rsidR="005B5AD3" w:rsidRPr="00243501" w:rsidRDefault="005B5AD3" w:rsidP="005B5AD3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Належне використання приміщення з метою неухильного виконання вимог статті 3 Конституції України </w:t>
            </w:r>
          </w:p>
        </w:tc>
        <w:tc>
          <w:tcPr>
            <w:tcW w:w="4073" w:type="dxa"/>
          </w:tcPr>
          <w:p w:rsidR="005B5AD3" w:rsidRDefault="005B5AD3" w:rsidP="005B5AD3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Медіація взаємовідносин учасників  процесів</w:t>
            </w:r>
          </w:p>
          <w:p w:rsidR="005B5AD3" w:rsidRDefault="005B5AD3" w:rsidP="005B5AD3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Default="005B5AD3" w:rsidP="005B5AD3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 за втіленням заходів  з </w:t>
            </w:r>
            <w:r w:rsid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завданих підрядником збитків через судові органи влади</w:t>
            </w:r>
          </w:p>
          <w:p w:rsidR="005B5AD3" w:rsidRDefault="005B5AD3" w:rsidP="005B5AD3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Default="005B5AD3" w:rsidP="005B5AD3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за </w:t>
            </w:r>
            <w:r w:rsid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функціонуванням інженерних систем приміщення </w:t>
            </w:r>
            <w:r w:rsidR="0021508C" w:rsidRP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="0021508C" w:rsidRP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21508C" w:rsidRP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Шевченка -20</w:t>
            </w:r>
          </w:p>
          <w:p w:rsidR="005B5AD3" w:rsidRPr="00010C29" w:rsidRDefault="005B5AD3" w:rsidP="005B5AD3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</w:tcPr>
          <w:p w:rsidR="005B5AD3" w:rsidRDefault="005B5AD3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внутрішнього аудиту міської ради</w:t>
            </w:r>
          </w:p>
          <w:p w:rsidR="005B5AD3" w:rsidRDefault="005B5AD3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Default="005B5AD3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міської ради</w:t>
            </w:r>
          </w:p>
          <w:p w:rsidR="005B5AD3" w:rsidRDefault="005B5AD3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Pr="00A233C2" w:rsidRDefault="005B5AD3" w:rsidP="005B5AD3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  <w:tc>
          <w:tcPr>
            <w:tcW w:w="2155" w:type="dxa"/>
          </w:tcPr>
          <w:p w:rsidR="005B5AD3" w:rsidRDefault="006C3412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  <w:r w:rsidR="005B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грудень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5B5AD3" w:rsidRDefault="005B5AD3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Default="005B5AD3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Default="005B5AD3" w:rsidP="006A2A5D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Pr="005B5AD3" w:rsidRDefault="005B5AD3" w:rsidP="005B5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Default="005B5AD3" w:rsidP="005B5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Default="005B5AD3" w:rsidP="005B5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Default="005B5AD3" w:rsidP="005B5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Default="005B5AD3" w:rsidP="005B5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5AD3" w:rsidRPr="005B5AD3" w:rsidRDefault="005B5AD3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848AA" w:rsidRPr="00F848AA" w:rsidTr="000B3A9E">
        <w:tc>
          <w:tcPr>
            <w:tcW w:w="458" w:type="dxa"/>
          </w:tcPr>
          <w:p w:rsidR="00F848AA" w:rsidRPr="000B3A9E" w:rsidRDefault="00F848AA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F848AA" w:rsidRDefault="00F848AA" w:rsidP="005B5AD3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Досягнення економії бюджетних коштів, їх цільове використання, ефективність і </w:t>
            </w: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результативність в діяльності розпорядників бюджетних коштів шляхом прийняття обґрунтованих управлінських рішень в умовах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правового режиму воєнного стану</w:t>
            </w:r>
          </w:p>
        </w:tc>
        <w:tc>
          <w:tcPr>
            <w:tcW w:w="4073" w:type="dxa"/>
          </w:tcPr>
          <w:p w:rsidR="00F848AA" w:rsidRDefault="00F848AA" w:rsidP="005B5AD3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Контроль за </w:t>
            </w: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результативність в діяльності розпорядників бюджетних коштів шляхом прийняття обґрунтованих управлінських рішень </w:t>
            </w: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 умовах правового режиму воєнного стану</w:t>
            </w:r>
          </w:p>
        </w:tc>
        <w:tc>
          <w:tcPr>
            <w:tcW w:w="2882" w:type="dxa"/>
          </w:tcPr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внутрішнього аудиту міської ради</w:t>
            </w:r>
          </w:p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Pr="005B5AD3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</w:t>
            </w: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соціального захисту населення міської ради</w:t>
            </w:r>
          </w:p>
        </w:tc>
        <w:tc>
          <w:tcPr>
            <w:tcW w:w="2155" w:type="dxa"/>
          </w:tcPr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 2022- грудень 2023</w:t>
            </w:r>
          </w:p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P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Default="00F848AA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–постійно до завершення року/введення в експлуатацію</w:t>
            </w:r>
          </w:p>
        </w:tc>
      </w:tr>
      <w:tr w:rsidR="003B7070" w:rsidTr="000B3A9E">
        <w:tc>
          <w:tcPr>
            <w:tcW w:w="458" w:type="dxa"/>
          </w:tcPr>
          <w:p w:rsidR="003B7070" w:rsidRPr="000B3A9E" w:rsidRDefault="003B7070" w:rsidP="003B7070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21508C" w:rsidRPr="00032CE0" w:rsidRDefault="003B7070" w:rsidP="003B7070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</w:t>
            </w:r>
            <w:r w:rsidRPr="00010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10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охорони здоров’я та медичного забезпечення</w:t>
            </w:r>
            <w:r w:rsid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CB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вягельської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0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</w:t>
            </w:r>
            <w:r w:rsidRP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ради</w:t>
            </w:r>
            <w:r w:rsidR="00032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(аудити комунальних некомерційних підприємств)</w:t>
            </w:r>
          </w:p>
          <w:p w:rsidR="003B7070" w:rsidRPr="000B3A9E" w:rsidRDefault="003B7070" w:rsidP="003B7070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Стратегічна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ціль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№ 1: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противагу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нарощуванню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збільшенню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</w:p>
        </w:tc>
        <w:tc>
          <w:tcPr>
            <w:tcW w:w="4073" w:type="dxa"/>
          </w:tcPr>
          <w:p w:rsid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правильність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реальним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потребам,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986" w:rsidRPr="003B7070">
              <w:rPr>
                <w:rFonts w:ascii="Times New Roman" w:hAnsi="Times New Roman" w:cs="Times New Roman"/>
                <w:sz w:val="24"/>
                <w:szCs w:val="24"/>
              </w:rPr>
              <w:t>обгрунтованість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3C2" w:rsidRPr="00A2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планових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8B9" w:rsidRPr="003B7070" w:rsidRDefault="00ED38B9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ідділ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  <w:p w:rsid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32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підпорядковані комунальні підприємства</w:t>
            </w:r>
          </w:p>
          <w:p w:rsidR="00393CEE" w:rsidRPr="00393CEE" w:rsidRDefault="00393CEE" w:rsidP="009108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(комунальне некомерційне підприємство «Центр первинної медико-санітарної допомоги» міської ради, комунальне некомерційне підприємство «Новоград-Волинське міськрайонне тер</w:t>
            </w:r>
            <w:r w:rsidR="00910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иторіальне медичне об’єднання»</w:t>
            </w:r>
          </w:p>
        </w:tc>
        <w:tc>
          <w:tcPr>
            <w:tcW w:w="2155" w:type="dxa"/>
          </w:tcPr>
          <w:p w:rsid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7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EE" w:rsidRDefault="00393CEE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C0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B7070" w:rsidTr="000B3A9E">
        <w:tc>
          <w:tcPr>
            <w:tcW w:w="458" w:type="dxa"/>
          </w:tcPr>
          <w:p w:rsidR="003B7070" w:rsidRPr="000B3A9E" w:rsidRDefault="003B7070" w:rsidP="003B7070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3B7070" w:rsidRDefault="003B7070" w:rsidP="003B7070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/-//-//-//-</w:t>
            </w:r>
          </w:p>
        </w:tc>
        <w:tc>
          <w:tcPr>
            <w:tcW w:w="4073" w:type="dxa"/>
          </w:tcPr>
          <w:p w:rsidR="003B7070" w:rsidRPr="003B7070" w:rsidRDefault="003B7070" w:rsidP="009A2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стану доходності на основі дослідження звітності за 20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роки,</w:t>
            </w:r>
            <w:r w:rsidR="00963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фінансових планів,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оцінка координації діяльності з розроблення та реалізації державних і місцевих цільових програм у </w:t>
            </w:r>
            <w:r w:rsidR="00963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медичній галузі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визначення пріоритетних напрямків розвитку галузі</w:t>
            </w:r>
          </w:p>
        </w:tc>
        <w:tc>
          <w:tcPr>
            <w:tcW w:w="2882" w:type="dxa"/>
          </w:tcPr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охорони здоров’я та медичного забезпечення</w:t>
            </w:r>
          </w:p>
          <w:p w:rsidR="003B7070" w:rsidRDefault="00CB7421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Звягельської</w:t>
            </w:r>
            <w:r w:rsid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7070"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</w:t>
            </w:r>
            <w:r w:rsidR="00343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7070"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підпорядковані комунальні підприємства</w:t>
            </w:r>
          </w:p>
        </w:tc>
        <w:tc>
          <w:tcPr>
            <w:tcW w:w="2155" w:type="dxa"/>
          </w:tcPr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Default="00DC0CBA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  <w:r w:rsidR="003B7070"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B7070" w:rsidRPr="003B7070" w:rsidTr="000B3A9E">
        <w:tc>
          <w:tcPr>
            <w:tcW w:w="458" w:type="dxa"/>
          </w:tcPr>
          <w:p w:rsidR="003B7070" w:rsidRPr="000B3A9E" w:rsidRDefault="003B7070" w:rsidP="003B7070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3B7070" w:rsidRDefault="003B7070" w:rsidP="003B7070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тарифної політики та забезпечення на території громади реалізації державної політики у сфері розвитку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медичного обслуговування населення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 </w:t>
            </w:r>
            <w:proofErr w:type="spellStart"/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організації заходів з його модернізації в частині надання методологічної підтримки </w:t>
            </w:r>
          </w:p>
        </w:tc>
        <w:tc>
          <w:tcPr>
            <w:tcW w:w="2882" w:type="dxa"/>
          </w:tcPr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охорони здоров’я та медичного забезпечення</w:t>
            </w:r>
          </w:p>
          <w:p w:rsidR="003B7070" w:rsidRPr="003B7070" w:rsidRDefault="00CB7421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Звягельської</w:t>
            </w:r>
            <w:r w:rsid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7070"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</w:t>
            </w:r>
            <w:r w:rsid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7070"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підпорядковані комунальні підприємства</w:t>
            </w:r>
          </w:p>
        </w:tc>
        <w:tc>
          <w:tcPr>
            <w:tcW w:w="2155" w:type="dxa"/>
          </w:tcPr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3B7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70" w:rsidRPr="003B7070" w:rsidRDefault="003B7070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1332F" w:rsidRPr="003B7070" w:rsidTr="000B3A9E">
        <w:tc>
          <w:tcPr>
            <w:tcW w:w="458" w:type="dxa"/>
          </w:tcPr>
          <w:p w:rsidR="00E1332F" w:rsidRPr="000B3A9E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1332F" w:rsidRPr="00342F27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4E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Стратегічна ціль № </w:t>
            </w:r>
            <w:r w:rsidRPr="00FB135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  <w:r w:rsidRPr="00FB13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801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Підвищення ефективності моніторингу закупівель</w:t>
            </w:r>
          </w:p>
        </w:tc>
        <w:tc>
          <w:tcPr>
            <w:tcW w:w="4073" w:type="dxa"/>
          </w:tcPr>
          <w:p w:rsidR="00E1332F" w:rsidRPr="00342F27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проведення процедур закупівель (нормативні документи, плани закупівель та зміни до них, джерела фінансування, підстави для формування додаткових угод, моніторинг ціноутворення)</w:t>
            </w:r>
          </w:p>
        </w:tc>
        <w:tc>
          <w:tcPr>
            <w:tcW w:w="2882" w:type="dxa"/>
          </w:tcPr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охорони здоров’я та медичного забезпечення</w:t>
            </w:r>
          </w:p>
          <w:p w:rsidR="00E1332F" w:rsidRPr="00667886" w:rsidRDefault="00CB7421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Звягельської</w:t>
            </w:r>
            <w:r w:rsid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332F"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</w:t>
            </w:r>
            <w:r w:rsid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332F"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підпорядковані комунальні підприємства</w:t>
            </w:r>
          </w:p>
        </w:tc>
        <w:tc>
          <w:tcPr>
            <w:tcW w:w="2155" w:type="dxa"/>
          </w:tcPr>
          <w:p w:rsid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66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66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F66B1B" w:rsidRDefault="00E1332F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1332F" w:rsidRPr="003B7070" w:rsidTr="000B3A9E">
        <w:tc>
          <w:tcPr>
            <w:tcW w:w="458" w:type="dxa"/>
          </w:tcPr>
          <w:p w:rsidR="00E1332F" w:rsidRPr="000B3A9E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1332F" w:rsidRPr="00342F27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4E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  <w:r w:rsidRPr="00801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«Налагодження якісної системи внутрішнього контролю»  </w:t>
            </w:r>
          </w:p>
        </w:tc>
        <w:tc>
          <w:tcPr>
            <w:tcW w:w="4073" w:type="dxa"/>
          </w:tcPr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 контролю за збереженням структури та балансової вартості активів,</w:t>
            </w:r>
            <w:r w:rsidRPr="00342F27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правильності здійснення видатків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джерел їх 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фінансування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комунальних підприємствах галузі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 наявність джерел фінансування з держ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авного та/або місцевих бюджетів, оцінка наявності та якості системи внутрішнього контролю</w:t>
            </w:r>
          </w:p>
          <w:p w:rsidR="009634FA" w:rsidRDefault="009634FA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342F27" w:rsidRDefault="00ED38B9" w:rsidP="00A233C2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фінансових планів на предмет актуальності, </w:t>
            </w:r>
            <w:r w:rsidRPr="00E56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відповідності штатних розписів вимогам  законодавства</w:t>
            </w:r>
            <w:r w:rsidR="00343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56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перевірка  відсутності фактів  утримання понадштатних чи понаднормативних посад працівників</w:t>
            </w:r>
          </w:p>
        </w:tc>
        <w:tc>
          <w:tcPr>
            <w:tcW w:w="2882" w:type="dxa"/>
          </w:tcPr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 питань охорони здоров’я та медичного забезпечення</w:t>
            </w:r>
          </w:p>
          <w:p w:rsidR="00E1332F" w:rsidRDefault="00E1332F" w:rsidP="00E1332F"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підпорядковані комунальні підприємства</w:t>
            </w:r>
          </w:p>
        </w:tc>
        <w:tc>
          <w:tcPr>
            <w:tcW w:w="2155" w:type="dxa"/>
          </w:tcPr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F66B1B" w:rsidRDefault="00E1332F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1332F" w:rsidRPr="003B7070" w:rsidTr="000B3A9E">
        <w:tc>
          <w:tcPr>
            <w:tcW w:w="458" w:type="dxa"/>
          </w:tcPr>
          <w:p w:rsidR="00E1332F" w:rsidRPr="000B3A9E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1332F" w:rsidRPr="008014EE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2: «Розвиток напряму внутрішніх аудитів  з проведення  перевірок поточного та капітального будівництва  та цільового й ефективного використання матеріальних ресурсів розпорядників  та отримувачів коштів»</w:t>
            </w:r>
          </w:p>
        </w:tc>
        <w:tc>
          <w:tcPr>
            <w:tcW w:w="4073" w:type="dxa"/>
          </w:tcPr>
          <w:p w:rsidR="00E1332F" w:rsidRDefault="00E1332F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структури доходів та видатків підприємств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медичної 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сфери </w:t>
            </w:r>
            <w:r w:rsid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Звягельської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громади, моніторинг взаєморозрахунків, перевірка проектно-кошторисної документації на предмет наявності належних експертних висновків, відповідності ПКД чинним нормам законодавства, оцінка ходу виконання та фінансування робіт</w:t>
            </w:r>
          </w:p>
        </w:tc>
        <w:tc>
          <w:tcPr>
            <w:tcW w:w="2882" w:type="dxa"/>
          </w:tcPr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охорони здоров’я та медичного забезпечення</w:t>
            </w:r>
          </w:p>
          <w:p w:rsidR="00E1332F" w:rsidRPr="00667886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підпорядковані комунальні підприємства</w:t>
            </w:r>
          </w:p>
        </w:tc>
        <w:tc>
          <w:tcPr>
            <w:tcW w:w="2155" w:type="dxa"/>
          </w:tcPr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3B7070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3B7070" w:rsidRDefault="00E1332F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  <w:r w:rsidRPr="003B7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1332F" w:rsidRPr="003B7070" w:rsidTr="000B3A9E">
        <w:tc>
          <w:tcPr>
            <w:tcW w:w="458" w:type="dxa"/>
          </w:tcPr>
          <w:p w:rsidR="00E1332F" w:rsidRPr="000B3A9E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1332F" w:rsidRPr="004C360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C3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освіти і науки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287" w:type="dxa"/>
          </w:tcPr>
          <w:p w:rsidR="00E1332F" w:rsidRPr="00541513" w:rsidRDefault="00E1332F" w:rsidP="00E133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  <w:p w:rsidR="00E1332F" w:rsidRPr="004E6B57" w:rsidRDefault="00E1332F" w:rsidP="00E1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противагу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нарощуванню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збільшенню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порушень</w:t>
            </w:r>
            <w:proofErr w:type="spellEnd"/>
          </w:p>
        </w:tc>
        <w:tc>
          <w:tcPr>
            <w:tcW w:w="4073" w:type="dxa"/>
          </w:tcPr>
          <w:p w:rsidR="00E1332F" w:rsidRPr="00BB4415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Оцінка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правильність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плануванн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я,відповідність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ам,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обгру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нтованість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отримувачів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,відповідність заходів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розвитковим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Програмам </w:t>
            </w:r>
          </w:p>
        </w:tc>
        <w:tc>
          <w:tcPr>
            <w:tcW w:w="2882" w:type="dxa"/>
          </w:tcPr>
          <w:p w:rsidR="00E1332F" w:rsidRPr="007C3D95" w:rsidRDefault="00E1332F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</w:t>
            </w:r>
            <w:r w:rsidR="00C76B2B">
              <w:t xml:space="preserve"> </w:t>
            </w:r>
            <w:r w:rsidR="00C76B2B" w:rsidRPr="00C76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підпорядковані установи та заклади</w:t>
            </w:r>
          </w:p>
        </w:tc>
        <w:tc>
          <w:tcPr>
            <w:tcW w:w="2155" w:type="dxa"/>
          </w:tcPr>
          <w:p w:rsidR="00E1332F" w:rsidRP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1332F" w:rsidRP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4E6B57" w:rsidRDefault="00E5791E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лютий-березень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76B2B" w:rsidRPr="003B7070" w:rsidTr="000B3A9E">
        <w:tc>
          <w:tcPr>
            <w:tcW w:w="458" w:type="dxa"/>
          </w:tcPr>
          <w:p w:rsidR="00C76B2B" w:rsidRPr="000B3A9E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C76B2B" w:rsidRPr="004C360F" w:rsidRDefault="00C76B2B" w:rsidP="00C7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76B2B" w:rsidRPr="004E6B57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C76B2B" w:rsidRPr="004E6B57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відповідності штатних розписів вимогам  національного законодавства (Наказ Мінфіну №57 зі змінами, постанова КМУ № 228 тощо)</w:t>
            </w:r>
            <w:r w:rsidRPr="00D3042E">
              <w:rPr>
                <w:lang w:val="uk-UA"/>
              </w:rPr>
              <w:t xml:space="preserve">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порядку складання та затвердження штатних розписів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перевірка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відсутності фактів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утримання понадштатних 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понаднормативних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періодичність атестації працівників</w:t>
            </w:r>
          </w:p>
        </w:tc>
        <w:tc>
          <w:tcPr>
            <w:tcW w:w="2882" w:type="dxa"/>
          </w:tcPr>
          <w:p w:rsidR="00C76B2B" w:rsidRDefault="00C76B2B" w:rsidP="00C76B2B">
            <w:r w:rsidRPr="002C6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</w:t>
            </w:r>
            <w:r w:rsidRPr="002C6020">
              <w:t xml:space="preserve"> </w:t>
            </w:r>
            <w:r w:rsidRPr="002C6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 підпорядковані установи та заклади</w:t>
            </w:r>
          </w:p>
        </w:tc>
        <w:tc>
          <w:tcPr>
            <w:tcW w:w="2155" w:type="dxa"/>
          </w:tcPr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Default="00E5791E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  <w:r w:rsidR="00C76B2B"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C76B2B" w:rsidRPr="00F50222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6B2B" w:rsidRPr="003B7070" w:rsidTr="000B3A9E">
        <w:tc>
          <w:tcPr>
            <w:tcW w:w="458" w:type="dxa"/>
          </w:tcPr>
          <w:p w:rsidR="00C76B2B" w:rsidRPr="000B3A9E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C76B2B" w:rsidRPr="00BB4415" w:rsidRDefault="00C76B2B" w:rsidP="00C76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C76B2B" w:rsidRPr="004E6B57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C76B2B" w:rsidRPr="00766E02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наявності обліково-регламентних документів (накази про облікову політику, тощо),перевірка достовірності фінансової звітності</w:t>
            </w:r>
          </w:p>
        </w:tc>
        <w:tc>
          <w:tcPr>
            <w:tcW w:w="2882" w:type="dxa"/>
          </w:tcPr>
          <w:p w:rsidR="00C76B2B" w:rsidRDefault="00C76B2B" w:rsidP="00C76B2B">
            <w:r w:rsidRPr="002C6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</w:t>
            </w:r>
            <w:r w:rsidRPr="002C6020">
              <w:t xml:space="preserve"> </w:t>
            </w:r>
            <w:r w:rsidRPr="002C6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 підпорядковані установи та заклади</w:t>
            </w:r>
          </w:p>
        </w:tc>
        <w:tc>
          <w:tcPr>
            <w:tcW w:w="2155" w:type="dxa"/>
          </w:tcPr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76B2B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F50222" w:rsidRDefault="00C76B2B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76B2B" w:rsidRPr="003B7070" w:rsidTr="000B3A9E">
        <w:tc>
          <w:tcPr>
            <w:tcW w:w="458" w:type="dxa"/>
          </w:tcPr>
          <w:p w:rsidR="00C76B2B" w:rsidRPr="000B3A9E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C76B2B" w:rsidRPr="004C360F" w:rsidRDefault="00C76B2B" w:rsidP="00C7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76B2B" w:rsidRPr="004E6B57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C76B2B" w:rsidRPr="004E6B57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обсягів власних надходжень бюджетних установ, своєчасності нарахування орендної плати, достовірності оцінки об’єктів оренди, тощо</w:t>
            </w:r>
          </w:p>
        </w:tc>
        <w:tc>
          <w:tcPr>
            <w:tcW w:w="2882" w:type="dxa"/>
          </w:tcPr>
          <w:p w:rsidR="00C76B2B" w:rsidRDefault="00C76B2B" w:rsidP="00C76B2B">
            <w:r w:rsidRPr="00963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</w:t>
            </w:r>
            <w:r w:rsidRPr="009638C4">
              <w:t xml:space="preserve"> </w:t>
            </w:r>
            <w:r w:rsidRPr="00963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 підпорядковані установи та заклади</w:t>
            </w:r>
          </w:p>
        </w:tc>
        <w:tc>
          <w:tcPr>
            <w:tcW w:w="2155" w:type="dxa"/>
          </w:tcPr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F50222" w:rsidRDefault="00C76B2B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76B2B" w:rsidRPr="003B7070" w:rsidTr="000B3A9E">
        <w:tc>
          <w:tcPr>
            <w:tcW w:w="458" w:type="dxa"/>
          </w:tcPr>
          <w:p w:rsidR="00C76B2B" w:rsidRPr="000B3A9E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C76B2B" w:rsidRPr="004C360F" w:rsidRDefault="00C76B2B" w:rsidP="00C7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76B2B" w:rsidRPr="004E6B57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2: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«Розвиток напряму внутрішніх аудитів  з проведення  перевірок поточного та капітального будівництва  та цільового й ефективного використання матеріальних ресурсів розпорядників  та отримувачів коштів»</w:t>
            </w:r>
          </w:p>
        </w:tc>
        <w:tc>
          <w:tcPr>
            <w:tcW w:w="4073" w:type="dxa"/>
          </w:tcPr>
          <w:p w:rsidR="00C76B2B" w:rsidRPr="004E6B57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структури доходів та видатків підприємств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галузі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моніторинг взаєморозрахунків, перевірка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ктної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 на предмет наявності експертних висновків, відповідності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проєктно-кошторисної документації 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чинним нормам національного законодавства, оцінка ходу виконання та фінансування робіт</w:t>
            </w:r>
          </w:p>
        </w:tc>
        <w:tc>
          <w:tcPr>
            <w:tcW w:w="2882" w:type="dxa"/>
          </w:tcPr>
          <w:p w:rsidR="00C76B2B" w:rsidRDefault="00C76B2B" w:rsidP="00C76B2B">
            <w:r w:rsidRPr="00963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</w:t>
            </w:r>
            <w:r w:rsidRPr="009638C4">
              <w:t xml:space="preserve"> </w:t>
            </w:r>
            <w:r w:rsidRPr="00963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 підпорядковані установи та заклади</w:t>
            </w:r>
          </w:p>
        </w:tc>
        <w:tc>
          <w:tcPr>
            <w:tcW w:w="2155" w:type="dxa"/>
          </w:tcPr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F50222" w:rsidRDefault="00C76B2B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76B2B" w:rsidRPr="003B7070" w:rsidTr="000B3A9E">
        <w:tc>
          <w:tcPr>
            <w:tcW w:w="458" w:type="dxa"/>
          </w:tcPr>
          <w:p w:rsidR="00C76B2B" w:rsidRPr="000B3A9E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C76B2B" w:rsidRPr="004C360F" w:rsidRDefault="00C76B2B" w:rsidP="00C7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76B2B" w:rsidRPr="00541513" w:rsidRDefault="00C76B2B" w:rsidP="00C76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4</w:t>
            </w:r>
            <w:r w:rsidRPr="00FB13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ефективності моніторингу закупівель</w:t>
            </w:r>
          </w:p>
        </w:tc>
        <w:tc>
          <w:tcPr>
            <w:tcW w:w="4073" w:type="dxa"/>
          </w:tcPr>
          <w:p w:rsidR="00C76B2B" w:rsidRPr="00541513" w:rsidRDefault="00C76B2B" w:rsidP="00C76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проведення процедур закупівель (нормативні документи, плани закупівель та зміни до них, джерела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,правомірність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укладення додаткових угод, перевірка тендерної документації та регламентних документів  із закупівель, моніторинг ціноутворення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82" w:type="dxa"/>
          </w:tcPr>
          <w:p w:rsidR="00C76B2B" w:rsidRDefault="00C76B2B" w:rsidP="00C76B2B">
            <w:r w:rsidRPr="00D52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</w:t>
            </w:r>
            <w:r w:rsidRPr="00D52754">
              <w:t xml:space="preserve"> </w:t>
            </w:r>
            <w:r w:rsidRPr="00D52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 підпорядковані установи та заклади</w:t>
            </w:r>
          </w:p>
        </w:tc>
        <w:tc>
          <w:tcPr>
            <w:tcW w:w="2155" w:type="dxa"/>
          </w:tcPr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F50222" w:rsidRDefault="00C76B2B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76B2B" w:rsidRPr="003B7070" w:rsidTr="000B3A9E">
        <w:tc>
          <w:tcPr>
            <w:tcW w:w="458" w:type="dxa"/>
          </w:tcPr>
          <w:p w:rsidR="00C76B2B" w:rsidRPr="000B3A9E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C76B2B" w:rsidRPr="004C360F" w:rsidRDefault="00C76B2B" w:rsidP="00C7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76B2B" w:rsidRPr="004C360F" w:rsidRDefault="00C76B2B" w:rsidP="00C7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3:</w:t>
            </w: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якісної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контролю»  </w:t>
            </w:r>
          </w:p>
        </w:tc>
        <w:tc>
          <w:tcPr>
            <w:tcW w:w="4073" w:type="dxa"/>
          </w:tcPr>
          <w:p w:rsidR="00C76B2B" w:rsidRPr="00541513" w:rsidRDefault="00C76B2B" w:rsidP="00C76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контролю за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збереженням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балансової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некомерційних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закладах освіти</w:t>
            </w:r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та/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якості </w:t>
            </w:r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2882" w:type="dxa"/>
          </w:tcPr>
          <w:p w:rsidR="00C76B2B" w:rsidRDefault="00C76B2B" w:rsidP="00C76B2B">
            <w:r w:rsidRPr="00D52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</w:t>
            </w:r>
            <w:r w:rsidRPr="00D52754">
              <w:t xml:space="preserve"> </w:t>
            </w:r>
            <w:r w:rsidRPr="00D52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 підпорядковані установи та заклади</w:t>
            </w:r>
          </w:p>
        </w:tc>
        <w:tc>
          <w:tcPr>
            <w:tcW w:w="2155" w:type="dxa"/>
          </w:tcPr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Pr="00E1332F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B2B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C76B2B" w:rsidRPr="00F50222" w:rsidRDefault="00C76B2B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3A9E" w:rsidRPr="00305144" w:rsidTr="000B3A9E">
        <w:tc>
          <w:tcPr>
            <w:tcW w:w="458" w:type="dxa"/>
          </w:tcPr>
          <w:p w:rsidR="00963F34" w:rsidRDefault="00963F34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9" w:type="dxa"/>
          </w:tcPr>
          <w:p w:rsidR="00963F34" w:rsidRPr="00305144" w:rsidRDefault="00305144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</w:t>
            </w:r>
            <w:r w:rsidR="007C3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  <w:r w:rsidR="00CC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екології міської ради </w:t>
            </w:r>
            <w:r w:rsid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963F34" w:rsidRPr="00305144" w:rsidRDefault="00305144" w:rsidP="0030514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F2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</w:t>
            </w:r>
            <w:r w:rsidR="00342F27" w:rsidRPr="00342F2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 w:rsidRPr="00342F2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атегічна ціль № </w:t>
            </w:r>
            <w:r w:rsidRPr="00FB135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FB13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«Розвиток напряму внутрішніх аудитів  з проведення  перевірок поточного та капітального будівництва  та цільового й ефективного використання матеріальних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ресурсів розпорядників  та отримувачів коштів»</w:t>
            </w:r>
          </w:p>
        </w:tc>
        <w:tc>
          <w:tcPr>
            <w:tcW w:w="4073" w:type="dxa"/>
          </w:tcPr>
          <w:p w:rsidR="00963F34" w:rsidRPr="00305144" w:rsidRDefault="00342F27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структури доходів та видатків підприємств житлово-комунальної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сфери </w:t>
            </w:r>
            <w:r w:rsid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Звягельсь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кої </w:t>
            </w:r>
            <w:r w:rsidR="00BB4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42F27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оніторинг взаєморозрахунків</w:t>
            </w:r>
            <w:r w:rsidR="00BB4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перевірка проектно-кошторисної </w:t>
            </w:r>
            <w:r w:rsid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на предмет наявності </w:t>
            </w:r>
            <w:r w:rsidR="00BB4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належних експертних</w:t>
            </w:r>
            <w:r w:rsid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висновків, відповідності ПКД чинним нормам національного законодавства, оцінка ходу виконання та фінансування робіт</w:t>
            </w:r>
            <w:r w:rsid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моніторинг врахування рекомендацій попередніх аудитів</w:t>
            </w:r>
          </w:p>
        </w:tc>
        <w:tc>
          <w:tcPr>
            <w:tcW w:w="2882" w:type="dxa"/>
          </w:tcPr>
          <w:p w:rsidR="00963F34" w:rsidRPr="007C3D95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екології міської ради</w:t>
            </w:r>
            <w:r w:rsidR="00305144" w:rsidRPr="007C3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комунальні підприємства громади</w:t>
            </w:r>
          </w:p>
        </w:tc>
        <w:tc>
          <w:tcPr>
            <w:tcW w:w="2155" w:type="dxa"/>
          </w:tcPr>
          <w:p w:rsidR="00342F27" w:rsidRDefault="00D636A5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="00305144"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5144"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  <w:r w:rsidR="00305144"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342F27" w:rsidRDefault="00342F27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321" w:rsidRDefault="000A3321" w:rsidP="003F2081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F34" w:rsidRPr="00305144" w:rsidRDefault="00E1332F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  <w:r w:rsidR="00D63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C3D95" w:rsidTr="000B3A9E">
        <w:tc>
          <w:tcPr>
            <w:tcW w:w="458" w:type="dxa"/>
          </w:tcPr>
          <w:p w:rsidR="007C3D95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9" w:type="dxa"/>
          </w:tcPr>
          <w:p w:rsidR="007C3D95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7C3D95" w:rsidRPr="00342F27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1:</w:t>
            </w:r>
            <w:r w:rsidRPr="00342F2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ефективності , результативності та якості виконання завдань, функцій, бюджетних програм,  ступеня виконання і досягнення цілей на противагу нарощуванню  кількості перевірок та  збільшенню виявлення порушень</w:t>
            </w:r>
          </w:p>
        </w:tc>
        <w:tc>
          <w:tcPr>
            <w:tcW w:w="4073" w:type="dxa"/>
          </w:tcPr>
          <w:p w:rsidR="007C3D95" w:rsidRPr="00305144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ефективності бюджетних програм (правильність планування,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відповідність реальним потреб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ам, соціальна та економічна обґру</w:t>
            </w:r>
            <w:r w:rsid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нтованість  планових показників,</w:t>
            </w:r>
            <w:r w:rsidR="00E1332F" w:rsidRPr="00E1332F">
              <w:rPr>
                <w:lang w:val="uk-UA"/>
              </w:rPr>
              <w:t xml:space="preserve"> </w:t>
            </w:r>
            <w:r w:rsidR="00E1332F"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врахування рекомендацій попередніх аудитів</w:t>
            </w:r>
          </w:p>
        </w:tc>
        <w:tc>
          <w:tcPr>
            <w:tcW w:w="2882" w:type="dxa"/>
          </w:tcPr>
          <w:p w:rsidR="007C3D95" w:rsidRPr="00C76B2B" w:rsidRDefault="007C3D95" w:rsidP="00C76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комунальні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3D95" w:rsidRPr="00D636A5" w:rsidRDefault="00E1332F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C3D95" w:rsidTr="000B3A9E">
        <w:tc>
          <w:tcPr>
            <w:tcW w:w="458" w:type="dxa"/>
          </w:tcPr>
          <w:p w:rsidR="007C3D95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9" w:type="dxa"/>
          </w:tcPr>
          <w:p w:rsidR="007C3D95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7" w:type="dxa"/>
          </w:tcPr>
          <w:p w:rsidR="007C3D95" w:rsidRPr="008A45F5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5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//-//-//-</w:t>
            </w:r>
          </w:p>
        </w:tc>
        <w:tc>
          <w:tcPr>
            <w:tcW w:w="4073" w:type="dxa"/>
          </w:tcPr>
          <w:p w:rsidR="007C3D95" w:rsidRPr="00305144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тарифної п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абезпечення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реалізації державної політики у сфері розвитку житлово-комунального господарства,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т.</w:t>
            </w:r>
            <w:r w:rsid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заходів з його модернізації в частині надання методологічної підтримки ініціативним групам щодо створення об’єднань співвласників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багатоквартирних будинків</w:t>
            </w:r>
            <w:r w:rsid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моніторинг врахування рекомендацій попередніх аудитів</w:t>
            </w:r>
          </w:p>
        </w:tc>
        <w:tc>
          <w:tcPr>
            <w:tcW w:w="2882" w:type="dxa"/>
          </w:tcPr>
          <w:p w:rsidR="007C3D95" w:rsidRPr="007C3D95" w:rsidRDefault="007C3D95" w:rsidP="007C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комунальні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B2B" w:rsidRPr="00C76B2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76B2B" w:rsidRPr="00C76B2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155" w:type="dxa"/>
          </w:tcPr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Default="00E1332F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1332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3D95" w:rsidRPr="00D636A5" w:rsidRDefault="00E1332F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C3D95" w:rsidRPr="00342F27" w:rsidTr="000B3A9E">
        <w:tc>
          <w:tcPr>
            <w:tcW w:w="458" w:type="dxa"/>
          </w:tcPr>
          <w:p w:rsidR="007C3D95" w:rsidRPr="00342F27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7C3D95" w:rsidRPr="00342F27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7C3D95" w:rsidRPr="00342F27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//-//-//-</w:t>
            </w:r>
          </w:p>
        </w:tc>
        <w:tc>
          <w:tcPr>
            <w:tcW w:w="4073" w:type="dxa"/>
          </w:tcPr>
          <w:p w:rsidR="007C3D95" w:rsidRPr="00342F27" w:rsidRDefault="007C3D95" w:rsidP="007C3D9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стану доходності на основі дослі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звітності за 2019-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42F27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координації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з розроблення та реалізації державних і місцевих цільових програм у сфері житлово-комунального господарства, визначення пріорит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етних напрямків розвитку галузі</w:t>
            </w:r>
            <w:r w:rsid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1332F" w:rsidRPr="00E1332F">
              <w:rPr>
                <w:lang w:val="uk-UA"/>
              </w:rPr>
              <w:t xml:space="preserve"> </w:t>
            </w:r>
            <w:r w:rsidR="00E1332F"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врахування </w:t>
            </w:r>
            <w:r w:rsidR="00E1332F"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рекомендацій попередніх аудитів</w:t>
            </w:r>
          </w:p>
        </w:tc>
        <w:tc>
          <w:tcPr>
            <w:tcW w:w="2882" w:type="dxa"/>
          </w:tcPr>
          <w:p w:rsidR="007C3D95" w:rsidRPr="007C3D95" w:rsidRDefault="007C3D95" w:rsidP="007C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комунальні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B2B" w:rsidRPr="00C76B2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76B2B" w:rsidRPr="00C76B2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155" w:type="dxa"/>
          </w:tcPr>
          <w:p w:rsidR="00E1332F" w:rsidRP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E1332F" w:rsidRP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32F" w:rsidRPr="00E1332F" w:rsidRDefault="00E1332F" w:rsidP="00E133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3D95" w:rsidRPr="00D636A5" w:rsidRDefault="00E1332F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травень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D38B9" w:rsidRPr="00342F27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4E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Стратегічна ціль № </w:t>
            </w:r>
            <w:r w:rsidRPr="00FB135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  <w:r w:rsidRPr="00FB13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801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Підвищення ефективності моніторингу закупівель</w:t>
            </w:r>
          </w:p>
        </w:tc>
        <w:tc>
          <w:tcPr>
            <w:tcW w:w="4073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проведення процедур закупівель (нормативні документи, плани закупівель та зміни до них, джерела фінансування, підстави для формування додаткових угод, моніторинг ціноутворення),</w:t>
            </w:r>
            <w:r w:rsidRPr="00E1332F">
              <w:rPr>
                <w:lang w:val="uk-UA"/>
              </w:rPr>
              <w:t xml:space="preserve"> 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врахування рекомендацій попередніх аудитів</w:t>
            </w:r>
          </w:p>
        </w:tc>
        <w:tc>
          <w:tcPr>
            <w:tcW w:w="2882" w:type="dxa"/>
          </w:tcPr>
          <w:p w:rsidR="00ED38B9" w:rsidRPr="007C3D95" w:rsidRDefault="00ED38B9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комунальні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B2B" w:rsidRPr="00C76B2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76B2B" w:rsidRPr="00C76B2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155" w:type="dxa"/>
          </w:tcPr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D636A5" w:rsidRDefault="00ED38B9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D38B9" w:rsidRPr="00342F27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4E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  <w:r w:rsidRPr="00801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«Налагодження якісної системи внутрішнього контролю»  </w:t>
            </w:r>
          </w:p>
        </w:tc>
        <w:tc>
          <w:tcPr>
            <w:tcW w:w="4073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 контролю за збереженням структури та балансової вартості активів,</w:t>
            </w:r>
            <w:r w:rsidRPr="00342F27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правильності здійснення видатків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джерел їх фінансування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комунальних підприємствах галузі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 наявність джерел фінансування з держ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авного та/або місцевих бюджетів, оцінка наявності та якості системи внутрішнього контролю,</w:t>
            </w:r>
            <w:r w:rsidRPr="00E1332F">
              <w:rPr>
                <w:lang w:val="uk-UA"/>
              </w:rPr>
              <w:t xml:space="preserve"> </w:t>
            </w:r>
            <w:r w:rsidRPr="00E13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врахування рекомендацій попередніх аудитів</w:t>
            </w:r>
          </w:p>
        </w:tc>
        <w:tc>
          <w:tcPr>
            <w:tcW w:w="2882" w:type="dxa"/>
          </w:tcPr>
          <w:p w:rsidR="00ED38B9" w:rsidRPr="007C3D95" w:rsidRDefault="00ED38B9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комунальні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7C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B2B" w:rsidRPr="00C76B2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76B2B" w:rsidRPr="00C76B2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155" w:type="dxa"/>
          </w:tcPr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D636A5" w:rsidRDefault="00ED38B9" w:rsidP="00F84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A25B4" w:rsidRPr="00051E99" w:rsidTr="000B3A9E">
        <w:tc>
          <w:tcPr>
            <w:tcW w:w="458" w:type="dxa"/>
          </w:tcPr>
          <w:p w:rsidR="009A25B4" w:rsidRPr="00342F2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A25B4" w:rsidRPr="00343B9D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43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сім’ї, молоді, фізичної культури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287" w:type="dxa"/>
          </w:tcPr>
          <w:p w:rsidR="009A25B4" w:rsidRPr="00541513" w:rsidRDefault="009A25B4" w:rsidP="009A25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  <w:p w:rsidR="009A25B4" w:rsidRPr="004E6B57" w:rsidRDefault="009A25B4" w:rsidP="009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противагу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нарощуванню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збільшенню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порушень</w:t>
            </w:r>
            <w:proofErr w:type="spellEnd"/>
          </w:p>
        </w:tc>
        <w:tc>
          <w:tcPr>
            <w:tcW w:w="4073" w:type="dxa"/>
          </w:tcPr>
          <w:p w:rsidR="009A25B4" w:rsidRPr="0076692C" w:rsidRDefault="009A25B4" w:rsidP="009A2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Оцінка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правильність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плануванн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я,відповідність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ам,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обгрунтованість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планових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 програм</w:t>
            </w:r>
          </w:p>
        </w:tc>
        <w:tc>
          <w:tcPr>
            <w:tcW w:w="2882" w:type="dxa"/>
          </w:tcPr>
          <w:p w:rsidR="009A25B4" w:rsidRPr="004B4E1D" w:rsidRDefault="009A25B4" w:rsidP="009A2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Pr="00254302" w:rsidRDefault="009A25B4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A25B4" w:rsidRPr="00051E99" w:rsidTr="000B3A9E">
        <w:tc>
          <w:tcPr>
            <w:tcW w:w="458" w:type="dxa"/>
          </w:tcPr>
          <w:p w:rsidR="009A25B4" w:rsidRPr="00342F2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A25B4" w:rsidRPr="00343B9D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A25B4" w:rsidRPr="004E6B5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9A25B4" w:rsidRPr="004E6B5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відповідності штатних розписів вимогам  національного законодавства (Наказ Мінфіну № 57 зі змінами,  Постанова КМУ № 228)</w:t>
            </w:r>
            <w:r w:rsidRPr="00D3042E">
              <w:rPr>
                <w:lang w:val="uk-UA"/>
              </w:rPr>
              <w:t xml:space="preserve">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порядку складання та затвердження штатних розписів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перевірка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відсутності фактів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утримання понадштатних 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понаднормативних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періодичність атестації працівників</w:t>
            </w:r>
          </w:p>
        </w:tc>
        <w:tc>
          <w:tcPr>
            <w:tcW w:w="2882" w:type="dxa"/>
          </w:tcPr>
          <w:p w:rsidR="009A25B4" w:rsidRPr="004B4E1D" w:rsidRDefault="009A25B4" w:rsidP="009A2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Pr="00254302" w:rsidRDefault="009A25B4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A25B4" w:rsidRPr="00051E99" w:rsidTr="000B3A9E">
        <w:tc>
          <w:tcPr>
            <w:tcW w:w="458" w:type="dxa"/>
          </w:tcPr>
          <w:p w:rsidR="009A25B4" w:rsidRPr="00342F2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A25B4" w:rsidRPr="00343B9D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A25B4" w:rsidRPr="004E6B5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9A25B4" w:rsidRPr="00766E02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наявності обліково-регламентних документів (накази про облікову політику, тощо),перевірка достовірності фінансової звітності, паспортів бюджетних програм, бюджетних запитів</w:t>
            </w:r>
          </w:p>
        </w:tc>
        <w:tc>
          <w:tcPr>
            <w:tcW w:w="2882" w:type="dxa"/>
          </w:tcPr>
          <w:p w:rsidR="009A25B4" w:rsidRPr="004B4E1D" w:rsidRDefault="009A25B4" w:rsidP="009A2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Pr="00254302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9A25B4" w:rsidRPr="00051E99" w:rsidTr="000B3A9E">
        <w:tc>
          <w:tcPr>
            <w:tcW w:w="458" w:type="dxa"/>
          </w:tcPr>
          <w:p w:rsidR="009A25B4" w:rsidRPr="00342F2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A25B4" w:rsidRPr="00343B9D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A25B4" w:rsidRPr="004E6B5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9A25B4" w:rsidRPr="004E6B5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обсягів власних надходжень бюджетних установ, своєчасності нарахування орендної плати, достовірності оцінки об’єктів оренди, тощо</w:t>
            </w:r>
          </w:p>
        </w:tc>
        <w:tc>
          <w:tcPr>
            <w:tcW w:w="2882" w:type="dxa"/>
          </w:tcPr>
          <w:p w:rsidR="009A25B4" w:rsidRPr="004B4E1D" w:rsidRDefault="009A25B4" w:rsidP="009A2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9A25B4" w:rsidRDefault="00F848AA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9A25B4" w:rsidRPr="00051E99" w:rsidTr="000B3A9E">
        <w:tc>
          <w:tcPr>
            <w:tcW w:w="458" w:type="dxa"/>
          </w:tcPr>
          <w:p w:rsidR="009A25B4" w:rsidRPr="00342F2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A25B4" w:rsidRPr="00343B9D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A25B4" w:rsidRPr="004E6B5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2: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«Розвиток напряму внутрішніх аудитів  з проведення  перевірок поточного та капітального будівництва  та цільового й ефективного використання 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матеріальних ресурсів розпорядників  та отримувачів коштів»</w:t>
            </w:r>
          </w:p>
        </w:tc>
        <w:tc>
          <w:tcPr>
            <w:tcW w:w="4073" w:type="dxa"/>
          </w:tcPr>
          <w:p w:rsidR="009A25B4" w:rsidRPr="004E6B5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Аналіз структури доходів та видатків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 галузі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моніторинг взаєморозрахунків, перевірка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ктної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 на предмет наявності експертних висновків, відповідності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проєктно-кошторисної документації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чинним нормам 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національного законодавства, оцінка ходу виконання та фінансування робіт</w:t>
            </w:r>
          </w:p>
        </w:tc>
        <w:tc>
          <w:tcPr>
            <w:tcW w:w="2882" w:type="dxa"/>
          </w:tcPr>
          <w:p w:rsidR="009A25B4" w:rsidRPr="004B4E1D" w:rsidRDefault="009A25B4" w:rsidP="009A2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9A25B4" w:rsidRDefault="00F848AA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Pr="00254302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9A25B4" w:rsidRPr="00051E99" w:rsidTr="000B3A9E">
        <w:tc>
          <w:tcPr>
            <w:tcW w:w="458" w:type="dxa"/>
          </w:tcPr>
          <w:p w:rsidR="009A25B4" w:rsidRPr="00342F2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A25B4" w:rsidRPr="00343B9D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A25B4" w:rsidRPr="00541513" w:rsidRDefault="009A25B4" w:rsidP="009A2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4</w:t>
            </w:r>
            <w:r w:rsidRPr="00FB13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ефективності моніторингу закупівель</w:t>
            </w:r>
          </w:p>
        </w:tc>
        <w:tc>
          <w:tcPr>
            <w:tcW w:w="4073" w:type="dxa"/>
          </w:tcPr>
          <w:p w:rsidR="009A25B4" w:rsidRPr="00541513" w:rsidRDefault="009A25B4" w:rsidP="009A2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проведення процедур закупівель (нормативні документи, плани закупівель та зміни до них, джерела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,правомірність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укладення додаткових угод, перевірка тендерної документації та регламентних документів  із закупівель, моніторинг ціноутворення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82" w:type="dxa"/>
          </w:tcPr>
          <w:p w:rsidR="009A25B4" w:rsidRPr="004B4E1D" w:rsidRDefault="009A25B4" w:rsidP="009A2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9A25B4" w:rsidRDefault="00F848AA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Pr="00254302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9A25B4" w:rsidRPr="00051E99" w:rsidTr="000B3A9E">
        <w:tc>
          <w:tcPr>
            <w:tcW w:w="458" w:type="dxa"/>
          </w:tcPr>
          <w:p w:rsidR="009A25B4" w:rsidRPr="00342F2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A25B4" w:rsidRPr="00343B9D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A25B4" w:rsidRPr="004C360F" w:rsidRDefault="009A25B4" w:rsidP="009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3:</w:t>
            </w: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якісної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контролю»  </w:t>
            </w:r>
          </w:p>
        </w:tc>
        <w:tc>
          <w:tcPr>
            <w:tcW w:w="4073" w:type="dxa"/>
          </w:tcPr>
          <w:p w:rsidR="009A25B4" w:rsidRPr="00541513" w:rsidRDefault="009A25B4" w:rsidP="009A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контролю за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збереженням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балансової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некомерційних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закладах </w:t>
            </w:r>
            <w:r w:rsidRPr="003724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сім’ї, молоді, фізичної культури та спорту</w:t>
            </w:r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та/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якості </w:t>
            </w:r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2882" w:type="dxa"/>
          </w:tcPr>
          <w:p w:rsidR="009A25B4" w:rsidRPr="004B4E1D" w:rsidRDefault="009A25B4" w:rsidP="009A2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43B9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9A25B4" w:rsidRDefault="00F848AA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Pr="00254302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9A25B4" w:rsidRPr="00051E99" w:rsidTr="000B3A9E">
        <w:tc>
          <w:tcPr>
            <w:tcW w:w="458" w:type="dxa"/>
          </w:tcPr>
          <w:p w:rsidR="009A25B4" w:rsidRPr="00342F2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A25B4" w:rsidRPr="00342F2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A25B4" w:rsidRPr="00541513" w:rsidRDefault="009A25B4" w:rsidP="009A25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  <w:p w:rsidR="009A25B4" w:rsidRPr="004E6B57" w:rsidRDefault="009A25B4" w:rsidP="009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противагу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нарощуванню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збільшенню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порушень</w:t>
            </w:r>
            <w:proofErr w:type="spellEnd"/>
          </w:p>
        </w:tc>
        <w:tc>
          <w:tcPr>
            <w:tcW w:w="4073" w:type="dxa"/>
          </w:tcPr>
          <w:p w:rsidR="009A25B4" w:rsidRDefault="009A25B4" w:rsidP="009A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Оцінка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правильність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плануванн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я,відповідність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ам,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обгрунтованість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планових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5B4" w:rsidRPr="000A3321" w:rsidRDefault="009A25B4" w:rsidP="009A2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порядку нарахування та виплати матеріальної допомоги згідно звернень жителів громади</w:t>
            </w:r>
          </w:p>
        </w:tc>
        <w:tc>
          <w:tcPr>
            <w:tcW w:w="2882" w:type="dxa"/>
          </w:tcPr>
          <w:p w:rsidR="009A25B4" w:rsidRPr="004E6B57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:rsidR="009A25B4" w:rsidRDefault="00F848AA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25B4" w:rsidRDefault="009A25B4" w:rsidP="009A25B4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3B9D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84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287" w:type="dxa"/>
          </w:tcPr>
          <w:p w:rsidR="00ED38B9" w:rsidRPr="00541513" w:rsidRDefault="00ED38B9" w:rsidP="00ED38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  <w:p w:rsidR="00ED38B9" w:rsidRPr="004E6B57" w:rsidRDefault="00ED38B9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противагу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нарощуванню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збільшенню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</w:p>
        </w:tc>
        <w:tc>
          <w:tcPr>
            <w:tcW w:w="4073" w:type="dxa"/>
          </w:tcPr>
          <w:p w:rsidR="00ED38B9" w:rsidRPr="004955F1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доходності за  рахунок платних послуг закладів,  інших джерел власних надходжень</w:t>
            </w:r>
            <w:r w:rsidRPr="00CB4D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сфері соціального захисту населення</w:t>
            </w:r>
          </w:p>
        </w:tc>
        <w:tc>
          <w:tcPr>
            <w:tcW w:w="2882" w:type="dxa"/>
          </w:tcPr>
          <w:p w:rsidR="00ED38B9" w:rsidRPr="004B4E1D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EF6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ED38B9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3B9D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4E6B5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ED38B9" w:rsidRPr="004E6B5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відповідності штатних розписів вимогам  національного законодавства (Наказ Мінфіну № 57,  Постанова КМУ № 228)</w:t>
            </w:r>
            <w:r w:rsidRPr="00D3042E">
              <w:rPr>
                <w:lang w:val="uk-UA"/>
              </w:rPr>
              <w:t xml:space="preserve">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порядку складання та затвердження штатних розписів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перевірка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відсутності фактів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утримання понадштатних 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понаднормативних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 працівників</w:t>
            </w:r>
          </w:p>
        </w:tc>
        <w:tc>
          <w:tcPr>
            <w:tcW w:w="2882" w:type="dxa"/>
          </w:tcPr>
          <w:p w:rsidR="00ED38B9" w:rsidRPr="004B4E1D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EF6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ED38B9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3B9D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4E6B5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ED38B9" w:rsidRPr="00766E02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наявності обліково-регламентних документів (накази про облікову політику, тощо),перевірка достовірності фінансової звітності</w:t>
            </w:r>
          </w:p>
        </w:tc>
        <w:tc>
          <w:tcPr>
            <w:tcW w:w="2882" w:type="dxa"/>
          </w:tcPr>
          <w:p w:rsidR="00ED38B9" w:rsidRPr="004B4E1D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EF6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ED38B9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3B9D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4E6B5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ED38B9" w:rsidRPr="004E6B5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обсягів власних надходжень бюджетних установ, своєчасності нарахування орендної плати, достовірності оцінки об’єктів оренди, тощо</w:t>
            </w:r>
          </w:p>
        </w:tc>
        <w:tc>
          <w:tcPr>
            <w:tcW w:w="2882" w:type="dxa"/>
          </w:tcPr>
          <w:p w:rsidR="00ED38B9" w:rsidRPr="004B4E1D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16B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ED38B9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3B9D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4E6B5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2: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«Розвиток напряму внутрішніх аудитів  з 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 перевірок поточного та капітального будівництва  та цільового й ефективного використання матеріальних ресурсів розпорядників  та отримувачів коштів»</w:t>
            </w:r>
          </w:p>
        </w:tc>
        <w:tc>
          <w:tcPr>
            <w:tcW w:w="4073" w:type="dxa"/>
          </w:tcPr>
          <w:p w:rsidR="00ED38B9" w:rsidRPr="004E6B5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Аналіз структури доходів та видатків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 та закладів галузі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моніторинг взаєморозрахунків, 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перевірка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 на предмет наявності експертних висновків, відповідності ПКД чинним нормам національного законодавства, оцінка ходу виконання та фінансування робіт</w:t>
            </w:r>
          </w:p>
        </w:tc>
        <w:tc>
          <w:tcPr>
            <w:tcW w:w="2882" w:type="dxa"/>
          </w:tcPr>
          <w:p w:rsidR="00ED38B9" w:rsidRPr="004B4E1D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ED38B9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3B9D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541513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4</w:t>
            </w:r>
            <w:r w:rsidRPr="00FB13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ефективності моніторингу закупівель</w:t>
            </w:r>
          </w:p>
        </w:tc>
        <w:tc>
          <w:tcPr>
            <w:tcW w:w="4073" w:type="dxa"/>
          </w:tcPr>
          <w:p w:rsidR="00ED38B9" w:rsidRPr="00541513" w:rsidRDefault="00ED38B9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проведення процедур закупівель (нормативні документи, плани закупівель та зміни до них, джерела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,правомірність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укладення додаткових угод, перевірка тендерної документації та регламентних документів  із закупівель, моніторинг ціноутворення</w:t>
            </w:r>
            <w:r w:rsidRPr="0054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82" w:type="dxa"/>
          </w:tcPr>
          <w:p w:rsidR="00ED38B9" w:rsidRPr="0096116B" w:rsidRDefault="00ED38B9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6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61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6B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961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6B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961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6B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C76B2B">
              <w:t xml:space="preserve"> </w:t>
            </w:r>
            <w:proofErr w:type="spellStart"/>
            <w:r w:rsidR="00C76B2B" w:rsidRPr="00C76B2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76B2B" w:rsidRPr="00C76B2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155" w:type="dxa"/>
          </w:tcPr>
          <w:p w:rsidR="00ED38B9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3B9D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4C360F" w:rsidRDefault="00ED38B9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3:</w:t>
            </w: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якісної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контролю»  </w:t>
            </w:r>
          </w:p>
        </w:tc>
        <w:tc>
          <w:tcPr>
            <w:tcW w:w="4073" w:type="dxa"/>
          </w:tcPr>
          <w:p w:rsidR="00ED38B9" w:rsidRPr="00541513" w:rsidRDefault="00ED38B9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контролю за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збереженням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балансової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нарахування та перерахування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пільг,допомог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субсидій</w:t>
            </w:r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та/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якості </w:t>
            </w:r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2882" w:type="dxa"/>
          </w:tcPr>
          <w:p w:rsidR="00ED38B9" w:rsidRPr="004B4E1D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16B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ED38B9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E56E41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E56E41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ED38B9" w:rsidRPr="00E56E41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обсягів власних надходжень бюджетних установ, своєчасності нарахування орендної плати, достовірності оцінки об’єктів оренди, тощо</w:t>
            </w:r>
          </w:p>
        </w:tc>
        <w:tc>
          <w:tcPr>
            <w:tcW w:w="2882" w:type="dxa"/>
          </w:tcPr>
          <w:p w:rsidR="00ED38B9" w:rsidRPr="00E56E41" w:rsidRDefault="00C76B2B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B2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76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B2B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C76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B2B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C76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B2B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C76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B2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76B2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155" w:type="dxa"/>
          </w:tcPr>
          <w:p w:rsidR="00ED38B9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D636A5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управління культури і туризму міської ради </w:t>
            </w:r>
          </w:p>
        </w:tc>
        <w:tc>
          <w:tcPr>
            <w:tcW w:w="3287" w:type="dxa"/>
          </w:tcPr>
          <w:p w:rsidR="00ED38B9" w:rsidRPr="009A25B4" w:rsidRDefault="00ED38B9" w:rsidP="00ED38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1:</w:t>
            </w:r>
          </w:p>
          <w:p w:rsidR="00ED38B9" w:rsidRPr="009A25B4" w:rsidRDefault="00ED38B9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противагу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нарощуванню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збільшенню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</w:p>
        </w:tc>
        <w:tc>
          <w:tcPr>
            <w:tcW w:w="4073" w:type="dxa"/>
          </w:tcPr>
          <w:p w:rsidR="00ED38B9" w:rsidRPr="009A25B4" w:rsidRDefault="00ED38B9" w:rsidP="00C15B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Оцінка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доходності комунальних неприбуткових підприємств галузі у т. ч. за  рахунок 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платних послуг закладів,  інших джерел власних надходжень</w:t>
            </w:r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сфері культури і туризму</w:t>
            </w:r>
          </w:p>
        </w:tc>
        <w:tc>
          <w:tcPr>
            <w:tcW w:w="2882" w:type="dxa"/>
          </w:tcPr>
          <w:p w:rsidR="00ED38B9" w:rsidRPr="009A25B4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і туризму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155" w:type="dxa"/>
          </w:tcPr>
          <w:p w:rsidR="00ED38B9" w:rsidRPr="009A25B4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Pr="009A25B4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Pr="009A25B4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Pr="009A25B4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Pr="009A25B4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A233C2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233C2"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ресень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ED38B9" w:rsidRPr="009A25B4" w:rsidRDefault="00ED38B9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бюджетних установ та підприємств на предмет актуальності, відповідності штатних розписів вимогам  національного законодавства (Наказ Мінфіну № 57,  Постанова КМУ № 228) дотримання порядку складання та затвердження штатних розписів, перевірка  відсутності фактів  утримання понадштатних чи понаднормативних посад працівників,</w:t>
            </w:r>
            <w:r w:rsidR="00C15BCE"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2882" w:type="dxa"/>
          </w:tcPr>
          <w:p w:rsidR="00ED38B9" w:rsidRPr="009A25B4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і туризму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155" w:type="dxa"/>
          </w:tcPr>
          <w:p w:rsidR="00ED38B9" w:rsidRPr="009A25B4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ED38B9" w:rsidRPr="009A25B4" w:rsidRDefault="00ED38B9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обліково-регламентних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політику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достовірності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2882" w:type="dxa"/>
          </w:tcPr>
          <w:p w:rsidR="00ED38B9" w:rsidRPr="009A25B4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і туризму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155" w:type="dxa"/>
          </w:tcPr>
          <w:p w:rsidR="00ED38B9" w:rsidRPr="009A25B4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ED38B9" w:rsidRPr="009A25B4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обсягів власних надходжень бюджетних установ, своєчасності нарахування орендної плати, достовірності оцінки об’єктів оренди, тощо</w:t>
            </w:r>
          </w:p>
        </w:tc>
        <w:tc>
          <w:tcPr>
            <w:tcW w:w="2882" w:type="dxa"/>
          </w:tcPr>
          <w:p w:rsidR="00ED38B9" w:rsidRPr="009A25B4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і туризму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155" w:type="dxa"/>
          </w:tcPr>
          <w:p w:rsidR="00ED38B9" w:rsidRPr="009A25B4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D38B9"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ічень 202</w:t>
            </w:r>
            <w:r w:rsidR="005B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  <w:r w:rsidR="006A2A5D"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2: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«Розвиток напряму внутрішніх аудитів  з проведення  перевірок поточного та капітального 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будівництва  та цільового й ефективного використання матеріальних ресурсів розпорядників  та отримувачів коштів»</w:t>
            </w:r>
          </w:p>
        </w:tc>
        <w:tc>
          <w:tcPr>
            <w:tcW w:w="4073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Аналіз структури доходів та видатків установ та закладів галузі, моніторинг взаєморозрахунків, перевірка </w:t>
            </w:r>
            <w:r w:rsidR="00C15BCE"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 на предмет наявності експертних 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висновків, відповідності ПКД чинним нормам національного законодавства, оцінка ходу виконання та фінансування робіт</w:t>
            </w:r>
          </w:p>
        </w:tc>
        <w:tc>
          <w:tcPr>
            <w:tcW w:w="2882" w:type="dxa"/>
          </w:tcPr>
          <w:p w:rsidR="00ED38B9" w:rsidRPr="009A25B4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і туризму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155" w:type="dxa"/>
          </w:tcPr>
          <w:p w:rsidR="00ED38B9" w:rsidRPr="009A25B4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9A25B4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4</w:t>
            </w:r>
            <w:r w:rsidRPr="009A25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ефективності моніторингу закупівель</w:t>
            </w:r>
          </w:p>
        </w:tc>
        <w:tc>
          <w:tcPr>
            <w:tcW w:w="4073" w:type="dxa"/>
          </w:tcPr>
          <w:p w:rsidR="00ED38B9" w:rsidRPr="009A25B4" w:rsidRDefault="00ED38B9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проведення процедур закупівель (нормативні документи, плани закупівель та зміни до них, джерела фінансування,</w:t>
            </w:r>
            <w:r w:rsidR="00C15BCE"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правомірність укладення додаткових угод, перевірка тендерної документації та регламентних документів  із закупівель, моніторинг цінотворення)</w:t>
            </w:r>
          </w:p>
        </w:tc>
        <w:tc>
          <w:tcPr>
            <w:tcW w:w="2882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культури і туризму міської ради</w:t>
            </w:r>
          </w:p>
        </w:tc>
        <w:tc>
          <w:tcPr>
            <w:tcW w:w="2155" w:type="dxa"/>
          </w:tcPr>
          <w:p w:rsidR="00ED38B9" w:rsidRPr="009A25B4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9A25B4" w:rsidRDefault="00ED38B9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3:</w:t>
            </w:r>
            <w:r w:rsidRPr="009A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якісної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контролю»  </w:t>
            </w:r>
          </w:p>
        </w:tc>
        <w:tc>
          <w:tcPr>
            <w:tcW w:w="4073" w:type="dxa"/>
          </w:tcPr>
          <w:p w:rsidR="00ED38B9" w:rsidRPr="009A25B4" w:rsidRDefault="00ED38B9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контролю за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збереженням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балансової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нарахування та перерахування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пільг,допомог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субсидій</w:t>
            </w:r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та/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якості </w:t>
            </w:r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9A25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2882" w:type="dxa"/>
          </w:tcPr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культури і туризму міської ради</w:t>
            </w:r>
          </w:p>
        </w:tc>
        <w:tc>
          <w:tcPr>
            <w:tcW w:w="2155" w:type="dxa"/>
          </w:tcPr>
          <w:p w:rsidR="00ED38B9" w:rsidRPr="009A25B4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9A25B4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2F27" w:rsidRDefault="00ED38B9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7D4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інансового управління</w:t>
            </w:r>
            <w:r w:rsidR="00963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4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287" w:type="dxa"/>
          </w:tcPr>
          <w:p w:rsidR="00ED38B9" w:rsidRPr="00541513" w:rsidRDefault="00ED38B9" w:rsidP="00ED38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  <w:p w:rsidR="00ED38B9" w:rsidRPr="004E6B57" w:rsidRDefault="00ED38B9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противагу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нарощуванню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збільшенню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7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</w:p>
        </w:tc>
        <w:tc>
          <w:tcPr>
            <w:tcW w:w="4073" w:type="dxa"/>
          </w:tcPr>
          <w:p w:rsidR="00ED38B9" w:rsidRDefault="00ED38B9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CB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 виконання в</w:t>
            </w:r>
            <w:proofErr w:type="spellStart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>имог</w:t>
            </w:r>
            <w:proofErr w:type="spellEnd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8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вітності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t xml:space="preserve"> 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ості 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звітності про виконання бюджетів; показників, затверджених розписом бюджету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предме</w:t>
            </w:r>
            <w:r w:rsidR="000A3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   обґрунтованості розрахунків, наявності та ефективності системи документообігу</w:t>
            </w:r>
          </w:p>
          <w:p w:rsidR="000A3321" w:rsidRPr="00531E44" w:rsidRDefault="000A3321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ймовірності 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порушен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процесі контролю за бюджетними повноваженнями при зарахуванні надходжень бюджету та здійсненні платежів за бюджетними зобов'язаннями розпорядників бюджетних коштів від</w:t>
            </w:r>
            <w:r w:rsidR="00917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повідно до бюджетних асигнувань</w:t>
            </w:r>
          </w:p>
          <w:p w:rsidR="009170CC" w:rsidRPr="00531E44" w:rsidRDefault="009170CC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531E44" w:rsidRDefault="00ED38B9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ймовірності 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недотримання порядку казначейського обслуговування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і місцевих бюджетів</w:t>
            </w:r>
          </w:p>
        </w:tc>
        <w:tc>
          <w:tcPr>
            <w:tcW w:w="2882" w:type="dxa"/>
          </w:tcPr>
          <w:p w:rsidR="00ED38B9" w:rsidRDefault="00ED38B9" w:rsidP="00C76B2B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</w:t>
            </w:r>
            <w:r w:rsidR="00963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управління</w:t>
            </w:r>
            <w:r w:rsidR="00C76B2B">
              <w:t xml:space="preserve"> </w:t>
            </w:r>
            <w:r w:rsidR="00C76B2B" w:rsidRPr="00C76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155" w:type="dxa"/>
          </w:tcPr>
          <w:p w:rsidR="00ED38B9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7D488D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9634FA" w:rsidRPr="003B7070" w:rsidTr="000B3A9E">
        <w:tc>
          <w:tcPr>
            <w:tcW w:w="458" w:type="dxa"/>
          </w:tcPr>
          <w:p w:rsidR="009634FA" w:rsidRPr="00342F27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634FA" w:rsidRPr="00342F27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634FA" w:rsidRPr="007D488D" w:rsidRDefault="009634FA" w:rsidP="00963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9634FA" w:rsidRPr="007D488D" w:rsidRDefault="009634FA" w:rsidP="009634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фактів </w:t>
            </w:r>
            <w:r w:rsidR="000A3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ймовірного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нецільового використання бюджетних коштів або фактів зупинення операцій з бюджетними коштами, перевірка достовірності 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визначення потреби в бюджетних коштах при складанні планових бюджетних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показників</w:t>
            </w:r>
          </w:p>
        </w:tc>
        <w:tc>
          <w:tcPr>
            <w:tcW w:w="2882" w:type="dxa"/>
          </w:tcPr>
          <w:p w:rsidR="009634FA" w:rsidRDefault="00C76B2B" w:rsidP="009634FA">
            <w:r w:rsidRPr="00C76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міської ради</w:t>
            </w:r>
          </w:p>
        </w:tc>
        <w:tc>
          <w:tcPr>
            <w:tcW w:w="2155" w:type="dxa"/>
          </w:tcPr>
          <w:p w:rsidR="009634FA" w:rsidRPr="007D488D" w:rsidRDefault="00F848A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</w:tc>
      </w:tr>
      <w:tr w:rsidR="009634FA" w:rsidRPr="00BB4415" w:rsidTr="000B3A9E">
        <w:tc>
          <w:tcPr>
            <w:tcW w:w="458" w:type="dxa"/>
          </w:tcPr>
          <w:p w:rsidR="009634FA" w:rsidRPr="00342F27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634FA" w:rsidRPr="00342F27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634FA" w:rsidRPr="007D488D" w:rsidRDefault="009634FA" w:rsidP="00963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9634FA" w:rsidRDefault="009634FA" w:rsidP="0096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забезпечення реалізації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єдиної державної політики у сфері контролю за дотриманням бюджетного законодавства, координ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ації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спрям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овування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органів виконавчої влади, за дотриманням бюджетного законодавства</w:t>
            </w:r>
          </w:p>
          <w:p w:rsidR="009170CC" w:rsidRPr="00531E44" w:rsidRDefault="009170CC" w:rsidP="0096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 контролю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дотриманням бюджетного </w:t>
            </w:r>
            <w:r w:rsidRPr="00531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законодавства на кожній стадії бюджетного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 щодо місцевого бюджету в частині планової та звітної мережі </w:t>
            </w:r>
          </w:p>
          <w:p w:rsidR="000A3321" w:rsidRDefault="000A3321" w:rsidP="0096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321" w:rsidRDefault="000A3321" w:rsidP="0096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якості планування та відповідності планових показників за доходами і видатками фактичним надходженням, перевірка обґрунтованості розрахунків</w:t>
            </w:r>
          </w:p>
          <w:p w:rsidR="000A3321" w:rsidRDefault="000A3321" w:rsidP="0096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Правильність нарахування та виплати заробітної плати</w:t>
            </w:r>
          </w:p>
          <w:p w:rsidR="000A3321" w:rsidRDefault="000A3321" w:rsidP="0096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Pr="007D488D" w:rsidRDefault="000A3321" w:rsidP="00A2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правильності відображення активів, контролю за їх збереженням</w:t>
            </w:r>
          </w:p>
        </w:tc>
        <w:tc>
          <w:tcPr>
            <w:tcW w:w="2882" w:type="dxa"/>
          </w:tcPr>
          <w:p w:rsidR="009634FA" w:rsidRDefault="00C76B2B" w:rsidP="009634FA">
            <w:r w:rsidRPr="00C76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Фінансове управління міської ради</w:t>
            </w:r>
          </w:p>
        </w:tc>
        <w:tc>
          <w:tcPr>
            <w:tcW w:w="2155" w:type="dxa"/>
          </w:tcPr>
          <w:p w:rsidR="009634FA" w:rsidRDefault="00F848A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Pr="007D488D" w:rsidRDefault="009634FA" w:rsidP="00A233C2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</w:t>
            </w:r>
            <w:r w:rsidR="00A23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топад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9634FA" w:rsidRPr="00BB4415" w:rsidTr="000B3A9E">
        <w:tc>
          <w:tcPr>
            <w:tcW w:w="458" w:type="dxa"/>
          </w:tcPr>
          <w:p w:rsidR="009634FA" w:rsidRPr="00342F27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634FA" w:rsidRPr="00342F27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634FA" w:rsidRPr="007D488D" w:rsidRDefault="009634FA" w:rsidP="00963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31E4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 № 2: «Розвиток напряму внутрішніх аудитів  з проведення  перевірок поточного та капітального будівництва  та цільового й ефективного використання матеріальних ресурсів розпорядників  та отримувачів коштів»</w:t>
            </w:r>
          </w:p>
        </w:tc>
        <w:tc>
          <w:tcPr>
            <w:tcW w:w="4073" w:type="dxa"/>
          </w:tcPr>
          <w:p w:rsidR="009170CC" w:rsidRDefault="009634FA" w:rsidP="0096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роботи направленої на збільшення дохідної частини місцевого бюджету у в. ч. за рахунок перегляду ставок податків, зборів та провадження ініціатив стосовно моніторингу сплати з метою</w:t>
            </w:r>
            <w:r w:rsidR="005B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нарощування обсягів надходжень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170CC" w:rsidRDefault="009170CC" w:rsidP="0096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Pr="007D488D" w:rsidRDefault="009634FA" w:rsidP="009634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платників у розрізі галузей та територій, а також у розрізі кодів класифікації доходів. Аналіз надходжень бюджету розвитку</w:t>
            </w:r>
          </w:p>
        </w:tc>
        <w:tc>
          <w:tcPr>
            <w:tcW w:w="2882" w:type="dxa"/>
          </w:tcPr>
          <w:p w:rsidR="009634FA" w:rsidRDefault="00C76B2B" w:rsidP="009634FA">
            <w:r w:rsidRPr="00C76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міської ради</w:t>
            </w:r>
          </w:p>
        </w:tc>
        <w:tc>
          <w:tcPr>
            <w:tcW w:w="2155" w:type="dxa"/>
          </w:tcPr>
          <w:p w:rsidR="009634FA" w:rsidRDefault="00F848A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3C2" w:rsidRDefault="00A233C2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Pr="007D488D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9634FA" w:rsidRPr="00051E99" w:rsidTr="000B3A9E">
        <w:tc>
          <w:tcPr>
            <w:tcW w:w="458" w:type="dxa"/>
          </w:tcPr>
          <w:p w:rsidR="009634FA" w:rsidRPr="00342F27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9634FA" w:rsidRPr="00342F27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9634FA" w:rsidRPr="004C360F" w:rsidRDefault="009634FA" w:rsidP="009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Стратегічна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</w:t>
            </w:r>
            <w:proofErr w:type="spellEnd"/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3:</w:t>
            </w:r>
            <w:r w:rsidRPr="0054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якісної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контролю</w:t>
            </w:r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3" w:type="dxa"/>
          </w:tcPr>
          <w:p w:rsidR="009634FA" w:rsidRDefault="009634FA" w:rsidP="009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3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за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збереженням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балансової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оплати праці</w:t>
            </w:r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якості </w:t>
            </w:r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proofErr w:type="gram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5415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</w:t>
            </w:r>
          </w:p>
          <w:p w:rsidR="009170CC" w:rsidRDefault="009170CC" w:rsidP="0096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C" w:rsidRPr="00541513" w:rsidRDefault="009170CC" w:rsidP="0096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Перевірка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бюджетних запитів, паспортів бюджетних програм на предмет актуальності та </w:t>
            </w:r>
            <w:r w:rsidR="000A3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обґрунтованості</w:t>
            </w:r>
          </w:p>
        </w:tc>
        <w:tc>
          <w:tcPr>
            <w:tcW w:w="2882" w:type="dxa"/>
          </w:tcPr>
          <w:p w:rsidR="009634FA" w:rsidRDefault="00C76B2B" w:rsidP="009634FA">
            <w:r w:rsidRPr="00C76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Фінансове управління міської ради</w:t>
            </w:r>
          </w:p>
        </w:tc>
        <w:tc>
          <w:tcPr>
            <w:tcW w:w="2155" w:type="dxa"/>
          </w:tcPr>
          <w:p w:rsidR="009634FA" w:rsidRDefault="00F848A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34FA" w:rsidRPr="007D488D" w:rsidRDefault="009634FA" w:rsidP="009634F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051E9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7" w:type="dxa"/>
          </w:tcPr>
          <w:p w:rsidR="00ED38B9" w:rsidRPr="00BB4415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Стратегічна ціль № 4:   Підвищення ефективності моніторингу закупівель</w:t>
            </w:r>
          </w:p>
        </w:tc>
        <w:tc>
          <w:tcPr>
            <w:tcW w:w="4073" w:type="dxa"/>
          </w:tcPr>
          <w:p w:rsidR="00ED38B9" w:rsidRPr="00BB4415" w:rsidRDefault="00ED38B9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проведення процедур закупівель (нормативні документи, плани закупівель та зміни до них, джерела фінансування,</w:t>
            </w:r>
            <w:r w:rsidR="005B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4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правомірність укладення додаткових угод,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4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тендерної документації та регламентних документів  із закупівель, моніторинг цінотворення)</w:t>
            </w:r>
          </w:p>
        </w:tc>
        <w:tc>
          <w:tcPr>
            <w:tcW w:w="2882" w:type="dxa"/>
          </w:tcPr>
          <w:p w:rsidR="00ED38B9" w:rsidRPr="00BB4415" w:rsidRDefault="00C76B2B" w:rsidP="00ED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міської ради</w:t>
            </w:r>
          </w:p>
        </w:tc>
        <w:tc>
          <w:tcPr>
            <w:tcW w:w="2155" w:type="dxa"/>
          </w:tcPr>
          <w:p w:rsidR="00ED38B9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2022-грудень 2023</w:t>
            </w: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Pr="007D488D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r w:rsidR="00F848AA" w:rsidRP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ED38B9" w:rsidRPr="00ED38B9" w:rsidTr="000B3A9E">
        <w:tc>
          <w:tcPr>
            <w:tcW w:w="458" w:type="dxa"/>
          </w:tcPr>
          <w:p w:rsidR="00ED38B9" w:rsidRPr="00342F27" w:rsidRDefault="00ED38B9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</w:tcPr>
          <w:p w:rsidR="00ED38B9" w:rsidRPr="00342F27" w:rsidRDefault="00516821" w:rsidP="00FB54D5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підсумків. </w:t>
            </w:r>
            <w:r w:rsidR="00ED38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річного звіту про роботу відділу внутрішнього аудиту міської ради</w:t>
            </w:r>
            <w:r w:rsid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2024 рік</w:t>
            </w:r>
            <w:r w:rsidR="00ED38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38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 усунення порушень,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38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кількісний та якісний аналіз зміни підходів до  управління активами</w:t>
            </w:r>
            <w:r w:rsidR="00FB5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загалом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 обліку</w:t>
            </w:r>
            <w:r w:rsidR="006C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головними розпорядниками та отримувачами коштів бюджету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  <w:r w:rsid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виконання </w:t>
            </w:r>
            <w:r w:rsidR="0021508C" w:rsidRPr="0021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  організації та функціонування системи управління ризиками у розпорядників бюджетних коштів, підприємств, установ і організацій    Звягельської міської ради  на 2024-2026 роки</w:t>
            </w:r>
          </w:p>
        </w:tc>
        <w:tc>
          <w:tcPr>
            <w:tcW w:w="3287" w:type="dxa"/>
          </w:tcPr>
          <w:p w:rsidR="00ED38B9" w:rsidRPr="00BB4415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3" w:type="dxa"/>
          </w:tcPr>
          <w:p w:rsidR="00ED38B9" w:rsidRPr="00BB4415" w:rsidRDefault="00ED38B9" w:rsidP="00ED3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</w:tcPr>
          <w:p w:rsidR="00ED38B9" w:rsidRDefault="00ED38B9" w:rsidP="00ED3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:rsidR="00A233C2" w:rsidRDefault="00A233C2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48AA" w:rsidRDefault="00F848AA" w:rsidP="00ED38B9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38B9" w:rsidRDefault="00A233C2" w:rsidP="00F848AA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FB5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рудень </w:t>
            </w:r>
            <w:r w:rsidR="006A2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84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B739C3" w:rsidRDefault="00B739C3" w:rsidP="002416BF">
      <w:pPr>
        <w:tabs>
          <w:tab w:val="left" w:pos="13665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A45F5" w:rsidRDefault="000E1AB3" w:rsidP="00B8269A">
      <w:pPr>
        <w:tabs>
          <w:tab w:val="left" w:pos="13665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0E1AB3" w:rsidRDefault="000E1AB3" w:rsidP="000E1AB3">
      <w:pPr>
        <w:tabs>
          <w:tab w:val="left" w:pos="1317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ДОЛЯ</w:t>
      </w:r>
    </w:p>
    <w:p w:rsidR="00185E1B" w:rsidRDefault="00185E1B" w:rsidP="000E1AB3">
      <w:pPr>
        <w:tabs>
          <w:tab w:val="left" w:pos="1317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85E1B" w:rsidRDefault="00185E1B" w:rsidP="000E1AB3">
      <w:pPr>
        <w:tabs>
          <w:tab w:val="left" w:pos="1317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85E1B" w:rsidRDefault="00185E1B" w:rsidP="000E1AB3">
      <w:pPr>
        <w:tabs>
          <w:tab w:val="left" w:pos="1317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85E1B" w:rsidRPr="00185E1B" w:rsidRDefault="00185E1B" w:rsidP="000E1AB3">
      <w:pPr>
        <w:tabs>
          <w:tab w:val="left" w:pos="13170"/>
        </w:tabs>
        <w:ind w:firstLine="708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85E1B" w:rsidRPr="002416BF" w:rsidRDefault="00185E1B" w:rsidP="000E1AB3">
      <w:pPr>
        <w:tabs>
          <w:tab w:val="left" w:pos="1317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5E1B" w:rsidRPr="002416BF" w:rsidSect="006874A6">
      <w:pgSz w:w="16838" w:h="11906" w:orient="landscape"/>
      <w:pgMar w:top="850" w:right="28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F5F1E"/>
    <w:multiLevelType w:val="hybridMultilevel"/>
    <w:tmpl w:val="B00437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214F9"/>
    <w:multiLevelType w:val="hybridMultilevel"/>
    <w:tmpl w:val="7986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B0"/>
    <w:rsid w:val="00010C29"/>
    <w:rsid w:val="00021B3F"/>
    <w:rsid w:val="00032762"/>
    <w:rsid w:val="00032CE0"/>
    <w:rsid w:val="00051E99"/>
    <w:rsid w:val="00075C1F"/>
    <w:rsid w:val="000772AD"/>
    <w:rsid w:val="000A3321"/>
    <w:rsid w:val="000B3A9E"/>
    <w:rsid w:val="000D0747"/>
    <w:rsid w:val="000E1AB3"/>
    <w:rsid w:val="00161BF9"/>
    <w:rsid w:val="00185E1B"/>
    <w:rsid w:val="001A53CD"/>
    <w:rsid w:val="001F0295"/>
    <w:rsid w:val="001F4F9F"/>
    <w:rsid w:val="0021508C"/>
    <w:rsid w:val="00235D8D"/>
    <w:rsid w:val="002416BF"/>
    <w:rsid w:val="00243501"/>
    <w:rsid w:val="00250B49"/>
    <w:rsid w:val="002B7B03"/>
    <w:rsid w:val="002C29C4"/>
    <w:rsid w:val="002E5AA2"/>
    <w:rsid w:val="002F62E0"/>
    <w:rsid w:val="00305144"/>
    <w:rsid w:val="00342F27"/>
    <w:rsid w:val="00343986"/>
    <w:rsid w:val="00343B9D"/>
    <w:rsid w:val="00365E42"/>
    <w:rsid w:val="003724D4"/>
    <w:rsid w:val="00393CEE"/>
    <w:rsid w:val="003A23D8"/>
    <w:rsid w:val="003B7070"/>
    <w:rsid w:val="003F2081"/>
    <w:rsid w:val="004653E2"/>
    <w:rsid w:val="00484074"/>
    <w:rsid w:val="004955F1"/>
    <w:rsid w:val="004A1D77"/>
    <w:rsid w:val="004B4E1D"/>
    <w:rsid w:val="004C297B"/>
    <w:rsid w:val="004C360F"/>
    <w:rsid w:val="004E6B57"/>
    <w:rsid w:val="00516821"/>
    <w:rsid w:val="00531E44"/>
    <w:rsid w:val="00541513"/>
    <w:rsid w:val="00566765"/>
    <w:rsid w:val="0056792B"/>
    <w:rsid w:val="00573E84"/>
    <w:rsid w:val="005B0730"/>
    <w:rsid w:val="005B5AD3"/>
    <w:rsid w:val="0062640D"/>
    <w:rsid w:val="00663D46"/>
    <w:rsid w:val="00671E59"/>
    <w:rsid w:val="006874A6"/>
    <w:rsid w:val="006A1A67"/>
    <w:rsid w:val="006A2A5D"/>
    <w:rsid w:val="006C3412"/>
    <w:rsid w:val="006C513B"/>
    <w:rsid w:val="007321C9"/>
    <w:rsid w:val="0076692C"/>
    <w:rsid w:val="00766E02"/>
    <w:rsid w:val="007C3D95"/>
    <w:rsid w:val="007D488D"/>
    <w:rsid w:val="008014EE"/>
    <w:rsid w:val="00845D8F"/>
    <w:rsid w:val="008848A0"/>
    <w:rsid w:val="008A2823"/>
    <w:rsid w:val="008A45F5"/>
    <w:rsid w:val="008A51E2"/>
    <w:rsid w:val="008F2809"/>
    <w:rsid w:val="00910887"/>
    <w:rsid w:val="009170CC"/>
    <w:rsid w:val="00955302"/>
    <w:rsid w:val="0096116B"/>
    <w:rsid w:val="009634FA"/>
    <w:rsid w:val="00963F34"/>
    <w:rsid w:val="0098601E"/>
    <w:rsid w:val="009A25B4"/>
    <w:rsid w:val="00A233C2"/>
    <w:rsid w:val="00A50A8B"/>
    <w:rsid w:val="00AD5B16"/>
    <w:rsid w:val="00AE268E"/>
    <w:rsid w:val="00AF394A"/>
    <w:rsid w:val="00B0628A"/>
    <w:rsid w:val="00B739C3"/>
    <w:rsid w:val="00B8269A"/>
    <w:rsid w:val="00BB4415"/>
    <w:rsid w:val="00BF247E"/>
    <w:rsid w:val="00C15BCE"/>
    <w:rsid w:val="00C20E7F"/>
    <w:rsid w:val="00C50BE6"/>
    <w:rsid w:val="00C55193"/>
    <w:rsid w:val="00C76B2B"/>
    <w:rsid w:val="00C8210D"/>
    <w:rsid w:val="00CA789D"/>
    <w:rsid w:val="00CB4D52"/>
    <w:rsid w:val="00CB7421"/>
    <w:rsid w:val="00CC5C2A"/>
    <w:rsid w:val="00CC7985"/>
    <w:rsid w:val="00CE62AE"/>
    <w:rsid w:val="00D12DC9"/>
    <w:rsid w:val="00D3042E"/>
    <w:rsid w:val="00D36431"/>
    <w:rsid w:val="00D44D88"/>
    <w:rsid w:val="00D636A5"/>
    <w:rsid w:val="00DC0CBA"/>
    <w:rsid w:val="00DF1F43"/>
    <w:rsid w:val="00E02E3A"/>
    <w:rsid w:val="00E0735A"/>
    <w:rsid w:val="00E1332F"/>
    <w:rsid w:val="00E219ED"/>
    <w:rsid w:val="00E52FA3"/>
    <w:rsid w:val="00E56E41"/>
    <w:rsid w:val="00E5791E"/>
    <w:rsid w:val="00ED38B9"/>
    <w:rsid w:val="00EE4EB0"/>
    <w:rsid w:val="00EF11BB"/>
    <w:rsid w:val="00F41EF6"/>
    <w:rsid w:val="00F611D8"/>
    <w:rsid w:val="00F8241A"/>
    <w:rsid w:val="00F848AA"/>
    <w:rsid w:val="00F93DF8"/>
    <w:rsid w:val="00FB1356"/>
    <w:rsid w:val="00FB54D5"/>
    <w:rsid w:val="00FD41B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F0DF"/>
  <w15:docId w15:val="{EA9EDDC0-4FB2-4BAC-B5CD-4FFEC909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F611D8"/>
  </w:style>
  <w:style w:type="character" w:styleId="a3">
    <w:name w:val="Hyperlink"/>
    <w:basedOn w:val="a0"/>
    <w:uiPriority w:val="99"/>
    <w:semiHidden/>
    <w:unhideWhenUsed/>
    <w:rsid w:val="00F611D8"/>
    <w:rPr>
      <w:color w:val="0000FF"/>
      <w:u w:val="single"/>
    </w:rPr>
  </w:style>
  <w:style w:type="paragraph" w:styleId="a4">
    <w:name w:val="No Spacing"/>
    <w:uiPriority w:val="1"/>
    <w:qFormat/>
    <w:rsid w:val="00021B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1F43"/>
    <w:pPr>
      <w:ind w:left="720"/>
      <w:contextualSpacing/>
    </w:pPr>
  </w:style>
  <w:style w:type="table" w:styleId="a6">
    <w:name w:val="Table Grid"/>
    <w:basedOn w:val="a1"/>
    <w:uiPriority w:val="59"/>
    <w:rsid w:val="0096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19</Pages>
  <Words>18117</Words>
  <Characters>10327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k1-3</cp:lastModifiedBy>
  <cp:revision>94</cp:revision>
  <cp:lastPrinted>2024-01-09T06:52:00Z</cp:lastPrinted>
  <dcterms:created xsi:type="dcterms:W3CDTF">2021-02-02T18:01:00Z</dcterms:created>
  <dcterms:modified xsi:type="dcterms:W3CDTF">2025-01-08T09:52:00Z</dcterms:modified>
</cp:coreProperties>
</file>