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68" w:rsidRPr="008F3868" w:rsidRDefault="008F3868" w:rsidP="008F3868">
      <w:pPr>
        <w:jc w:val="center"/>
        <w:rPr>
          <w:rFonts w:eastAsia="Arial Unicode MS"/>
          <w:b/>
          <w:sz w:val="27"/>
          <w:szCs w:val="27"/>
          <w:lang w:val="uk-UA"/>
        </w:rPr>
      </w:pPr>
      <w:r w:rsidRPr="008F3868">
        <w:rPr>
          <w:b/>
          <w:sz w:val="27"/>
          <w:szCs w:val="27"/>
          <w:lang w:val="uk-UA"/>
        </w:rPr>
        <w:t xml:space="preserve">Звіт </w:t>
      </w:r>
      <w:r w:rsidRPr="008F3868">
        <w:rPr>
          <w:rFonts w:eastAsia="Arial Unicode MS"/>
          <w:b/>
          <w:sz w:val="27"/>
          <w:szCs w:val="27"/>
          <w:lang w:val="uk-UA"/>
        </w:rPr>
        <w:t>про свою роботу</w:t>
      </w:r>
    </w:p>
    <w:p w:rsidR="008F3868" w:rsidRPr="008F3868" w:rsidRDefault="008F3868" w:rsidP="008F3868">
      <w:pPr>
        <w:jc w:val="center"/>
        <w:rPr>
          <w:b/>
          <w:sz w:val="27"/>
          <w:szCs w:val="27"/>
          <w:lang w:val="uk-UA"/>
        </w:rPr>
      </w:pPr>
      <w:r w:rsidRPr="008F3868">
        <w:rPr>
          <w:b/>
          <w:sz w:val="27"/>
          <w:szCs w:val="27"/>
          <w:lang w:val="uk-UA"/>
        </w:rPr>
        <w:t xml:space="preserve">старости </w:t>
      </w:r>
      <w:proofErr w:type="spellStart"/>
      <w:r w:rsidRPr="008F3868">
        <w:rPr>
          <w:b/>
          <w:sz w:val="27"/>
          <w:szCs w:val="27"/>
          <w:lang w:val="uk-UA"/>
        </w:rPr>
        <w:t>Пилиповицького</w:t>
      </w:r>
      <w:proofErr w:type="spellEnd"/>
      <w:r w:rsidRPr="008F3868">
        <w:rPr>
          <w:b/>
          <w:sz w:val="27"/>
          <w:szCs w:val="27"/>
          <w:lang w:val="uk-UA"/>
        </w:rPr>
        <w:t xml:space="preserve"> </w:t>
      </w:r>
      <w:proofErr w:type="spellStart"/>
      <w:r w:rsidRPr="008F3868">
        <w:rPr>
          <w:b/>
          <w:sz w:val="27"/>
          <w:szCs w:val="27"/>
          <w:lang w:val="uk-UA"/>
        </w:rPr>
        <w:t>старостинського</w:t>
      </w:r>
      <w:proofErr w:type="spellEnd"/>
      <w:r w:rsidRPr="008F3868">
        <w:rPr>
          <w:b/>
          <w:sz w:val="27"/>
          <w:szCs w:val="27"/>
          <w:lang w:val="uk-UA"/>
        </w:rPr>
        <w:t xml:space="preserve"> округу </w:t>
      </w:r>
      <w:proofErr w:type="spellStart"/>
      <w:r w:rsidRPr="008F3868">
        <w:rPr>
          <w:b/>
          <w:sz w:val="27"/>
          <w:szCs w:val="27"/>
          <w:lang w:val="uk-UA"/>
        </w:rPr>
        <w:t>Панфелюк</w:t>
      </w:r>
      <w:proofErr w:type="spellEnd"/>
      <w:r w:rsidRPr="008F3868">
        <w:rPr>
          <w:b/>
          <w:sz w:val="27"/>
          <w:szCs w:val="27"/>
          <w:lang w:val="uk-UA"/>
        </w:rPr>
        <w:t xml:space="preserve"> Н.В. за 2024 рік</w:t>
      </w:r>
    </w:p>
    <w:p w:rsidR="008F3868" w:rsidRPr="0007486F" w:rsidRDefault="008F3868" w:rsidP="008F3868">
      <w:pPr>
        <w:rPr>
          <w:sz w:val="27"/>
          <w:szCs w:val="27"/>
          <w:lang w:val="uk-UA"/>
        </w:rPr>
      </w:pPr>
      <w:r w:rsidRPr="0007486F">
        <w:rPr>
          <w:sz w:val="27"/>
          <w:szCs w:val="27"/>
          <w:lang w:val="uk-UA"/>
        </w:rPr>
        <w:t xml:space="preserve">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Згідно законів України «Про місцеве самоврядування в Україні», «Про  службу в органах місцевого самоврядування» та Положення про старосту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Звягельської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міської територіальної громади надаю звіт про проведену роботу за 2024 рік 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У своїй роботі на посаді старости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Пилиповицького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старостинського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округу керуюсь Конституцією та Законами України, указами і розпорядженнями    Президента України, Постановами та розпорядженнями Кабінету Міністрів України, Статуту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Звягельської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міської територіальної громади, Регламентом  роботи  виконавчих  органів міської  ради  та  виконавчого  комітету, Регламентом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Звягельської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міської ради восьмого скликання, Положенням про старосту та  іншими  нормативно-правовими  актами, що  визначають порядок діяльності  та  взаємовідносин з міською радою, її виконавчим комітетом, виконавчими органами  міської  ради, посадовими особами та громадою.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Загальна територія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старостинського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округу складає 4630,7 га, до якої   входить 4 населені пункти: села Пилиповичі,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Анета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>, Городище, Степове.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Загальна площа населених пунктів складає 643 га.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На території округу зареєстровано згідно даних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ЦНАПу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1512 осіб в 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т.ч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. на  даний  час проживають та працюють за кордоном 99 чоловік, з них 33 неповнолітні  діти. 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За  2024  рік  народилося – 6 дітей  ,  померло  - 28 осіб 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Постійно в тісній співпраці з працівниками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Звягельського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районного ТЦК та СП працювали по оповіщенню мобілізованих. Дітей  призивного віку  поставлено  на  облік.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На цей час на  території округу мобілізовано 83 осіб. Налагоджена співпрацю з службою у справах дітей, спільно проводились перевірки та рейди в неблагополучних сім’ях.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На  території  громади працює  два  соціальні  працівники, які  обслуговують  25  одиноких громадян .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Постійно проводилася робота з підтримки громадян пільгової категорії. Працювали з благодійним фондом «Світ на долоні» по забезпеченню продуктовими наборами громадян, які потребують допомоги. Дякуємо 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Бадовській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 Олені  Михайлівні  за  розуміння  та  співпрацю.</w:t>
      </w:r>
    </w:p>
    <w:p w:rsidR="008F3868" w:rsidRPr="0007486F" w:rsidRDefault="008F3868" w:rsidP="008F3868">
      <w:pPr>
        <w:pStyle w:val="a3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          У 2024 році було : 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видано довідок різного характеру – 372 шт.,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 проведено 70 нотаріальних дій, в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т.ч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>. – 10 заповітів,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проведено та надано 95 актів обстеження;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видано 14 характеристик на громадян.</w:t>
      </w:r>
    </w:p>
    <w:p w:rsidR="008F3868" w:rsidRPr="0007486F" w:rsidRDefault="008F3868" w:rsidP="008F3868">
      <w:pPr>
        <w:pStyle w:val="a3"/>
        <w:ind w:left="720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На  території 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старостинського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 округу  функціонують: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АЗПСМ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ДНЗ «Калинка» -  відвідує 31 дитина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Пилиповицький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 ліцей - навчається 205 дітей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Бібліопростір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«Етно»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Будинок культури , в  якому  функціонують: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зразковий  танцювальний  колектив  «Віночок» відвідує 30дітей (Дві вікові  групи).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народний  аматорський  колектив «Чарівниці».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lastRenderedPageBreak/>
        <w:t>філія  школи мистецтв , образотворче та  музичне мистецтво займається  28 дітей.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при 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Пилиповицькому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 ліцеї діє секція греко-римської боротьби – займається  25 дітей. Вихованці  постійно  займають  призові  місця 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в позашкільний  час 12 дітей  займаються  грою  на  духових інструментах.</w:t>
      </w:r>
    </w:p>
    <w:p w:rsidR="008F3868" w:rsidRPr="0007486F" w:rsidRDefault="008F3868" w:rsidP="008F3868">
      <w:pPr>
        <w:ind w:firstLine="426"/>
        <w:rPr>
          <w:color w:val="000000"/>
          <w:sz w:val="27"/>
          <w:szCs w:val="27"/>
          <w:lang w:val="uk-UA"/>
        </w:rPr>
      </w:pPr>
      <w:r w:rsidRPr="0007486F">
        <w:rPr>
          <w:color w:val="000000"/>
          <w:sz w:val="27"/>
          <w:szCs w:val="27"/>
          <w:lang w:val="uk-UA"/>
        </w:rPr>
        <w:t>За рахунок коштів бюджету міської територіальної громади у 2024 році проведено такі роботи:</w:t>
      </w:r>
    </w:p>
    <w:p w:rsidR="008F3868" w:rsidRPr="0007486F" w:rsidRDefault="008F3868" w:rsidP="008F386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завершено капітальний ремонт дороги в с. Городище протяжність 410 м;</w:t>
      </w:r>
    </w:p>
    <w:p w:rsidR="008F3868" w:rsidRPr="0007486F" w:rsidRDefault="008F3868" w:rsidP="008F386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завершується капітальний ремонт кладовища №1 в селі Пилиповичі на суму 552 тис. грн.;</w:t>
      </w:r>
    </w:p>
    <w:p w:rsidR="008F3868" w:rsidRPr="0007486F" w:rsidRDefault="008F3868" w:rsidP="008F386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проведено поточний ремонт – </w:t>
      </w:r>
      <w:proofErr w:type="spellStart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грейдерування</w:t>
      </w:r>
      <w:proofErr w:type="spellEnd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 xml:space="preserve"> з підсипкою всіх вулиць по всім населеним пунктам </w:t>
      </w:r>
      <w:proofErr w:type="spellStart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старостинського</w:t>
      </w:r>
      <w:proofErr w:type="spellEnd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 xml:space="preserve"> округу та в селі </w:t>
      </w:r>
      <w:proofErr w:type="spellStart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Анета</w:t>
      </w:r>
      <w:proofErr w:type="spellEnd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 xml:space="preserve"> до кладовища.</w:t>
      </w:r>
    </w:p>
    <w:p w:rsidR="008F3868" w:rsidRPr="0007486F" w:rsidRDefault="008F3868" w:rsidP="008F386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Проведено ямковий поточний ремонт вулиці Довженка в селі  Пилиповичі  - 100 </w:t>
      </w:r>
      <w:proofErr w:type="spellStart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м.кв</w:t>
      </w:r>
      <w:proofErr w:type="spellEnd"/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:rsidR="008F3868" w:rsidRPr="0007486F" w:rsidRDefault="008F3868" w:rsidP="008F386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07486F">
        <w:rPr>
          <w:rFonts w:ascii="Times New Roman" w:hAnsi="Times New Roman"/>
          <w:color w:val="000000"/>
          <w:sz w:val="27"/>
          <w:szCs w:val="27"/>
          <w:lang w:val="uk-UA"/>
        </w:rPr>
        <w:t>Проведено обкошування та благоустрій чотирьох кладовищ по всіх населених пунктах.</w:t>
      </w:r>
    </w:p>
    <w:p w:rsidR="008F3868" w:rsidRPr="0007486F" w:rsidRDefault="008F3868" w:rsidP="008F3868">
      <w:pPr>
        <w:ind w:firstLine="709"/>
        <w:jc w:val="both"/>
        <w:rPr>
          <w:color w:val="000000"/>
          <w:sz w:val="27"/>
          <w:szCs w:val="27"/>
          <w:lang w:val="uk-UA"/>
        </w:rPr>
      </w:pPr>
      <w:r w:rsidRPr="0007486F">
        <w:rPr>
          <w:color w:val="000000"/>
          <w:sz w:val="27"/>
          <w:szCs w:val="27"/>
          <w:lang w:val="uk-UA"/>
        </w:rPr>
        <w:t>В селі Городище укладено з усім населенням договір на вивезення сміття. Встановлено 18 контейнерів для сміття .</w:t>
      </w:r>
    </w:p>
    <w:p w:rsidR="008F3868" w:rsidRPr="0007486F" w:rsidRDefault="008F3868" w:rsidP="008F3868">
      <w:pPr>
        <w:ind w:firstLine="567"/>
        <w:jc w:val="both"/>
        <w:rPr>
          <w:color w:val="000000"/>
          <w:sz w:val="27"/>
          <w:szCs w:val="27"/>
          <w:lang w:val="uk-UA"/>
        </w:rPr>
      </w:pPr>
      <w:r w:rsidRPr="0007486F">
        <w:rPr>
          <w:color w:val="000000"/>
          <w:sz w:val="27"/>
          <w:szCs w:val="27"/>
          <w:lang w:val="uk-UA"/>
        </w:rPr>
        <w:t xml:space="preserve">Всі установи освіти, культури, охорони здоров’я працювали в штатному режимі. Забезпечені господарськими матеріалами, </w:t>
      </w:r>
      <w:proofErr w:type="spellStart"/>
      <w:r w:rsidRPr="0007486F">
        <w:rPr>
          <w:color w:val="000000"/>
          <w:sz w:val="27"/>
          <w:szCs w:val="27"/>
          <w:lang w:val="uk-UA"/>
        </w:rPr>
        <w:t>дровама</w:t>
      </w:r>
      <w:proofErr w:type="spellEnd"/>
      <w:r w:rsidRPr="0007486F">
        <w:rPr>
          <w:color w:val="000000"/>
          <w:sz w:val="27"/>
          <w:szCs w:val="27"/>
          <w:lang w:val="uk-UA"/>
        </w:rPr>
        <w:t>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Від початку війни і по цей час проводяться роботи щодо фінансової  підтримки ЗСУ по всіх населених пунктах.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За три роки повномасштабної війни більше 2-х мільйонів гривень зібрано жителями  громади  для  потреб  ЗСУ та  сплетено  2340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м.кв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маскувальних сіток.  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Місцевий волонтер Бондарчук Костянтин особисто завозив в різні бригади нашим  односельчанам, які воюють . </w:t>
      </w:r>
    </w:p>
    <w:p w:rsidR="008F3868" w:rsidRPr="0007486F" w:rsidRDefault="008F3868" w:rsidP="008F3868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Слова подяки міському голові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Боровцю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М.П., секретарю міської ради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Гвозденко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О.В., депутатському корпусу, всім управлінням та відділам міської ради, місцевим підприємцям, які приймали рішення та працювали для  досягнення  позитивного результату .</w:t>
      </w:r>
    </w:p>
    <w:p w:rsidR="008F3868" w:rsidRPr="0007486F" w:rsidRDefault="008F3868" w:rsidP="008F3868">
      <w:pPr>
        <w:pStyle w:val="a3"/>
        <w:ind w:firstLine="426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Звичайно є багато планів на 2025 рік. Основні з них це: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Капітальний ремонт вуличного освітлення в селі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Анета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>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Ремонт огорожі дитячого будинку сімейного типу с. Городище.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Капітальний ремонт доріг 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Будівництво водозабірної свердловини (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бювету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) питної води в селі Городище. 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очистка річки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Церем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>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Заміна труби в котельні, встановлення огорожі та поточний ремонт вхідної  частини </w:t>
      </w: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Пилиповицького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ліцею.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Будівництво спортивного майданчику з твердим покриттям.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Облаштування роздягальні для футболістів на стадіоні в селі Пилиповичі.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Продовження ремонту загорожі кладовища (100 м) с. Городище.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Продовження освітлення вулиць населених пунктів.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Коронування та чистка аварійних дерев.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07486F">
        <w:rPr>
          <w:rFonts w:ascii="Times New Roman" w:hAnsi="Times New Roman"/>
          <w:sz w:val="27"/>
          <w:szCs w:val="27"/>
          <w:lang w:val="uk-UA"/>
        </w:rPr>
        <w:t>Грейдерування</w:t>
      </w:r>
      <w:proofErr w:type="spellEnd"/>
      <w:r w:rsidRPr="0007486F">
        <w:rPr>
          <w:rFonts w:ascii="Times New Roman" w:hAnsi="Times New Roman"/>
          <w:sz w:val="27"/>
          <w:szCs w:val="27"/>
          <w:lang w:val="uk-UA"/>
        </w:rPr>
        <w:t xml:space="preserve"> доріг з підсипкою.</w:t>
      </w:r>
    </w:p>
    <w:p w:rsidR="008F3868" w:rsidRPr="0007486F" w:rsidRDefault="008F3868" w:rsidP="008F386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>Встановлення світлофору на вимогу та камеру контролю швидкості в селі Пилиповичі.</w:t>
      </w:r>
    </w:p>
    <w:p w:rsidR="008F3868" w:rsidRPr="0007486F" w:rsidRDefault="008F3868" w:rsidP="008F3868">
      <w:pPr>
        <w:pStyle w:val="a3"/>
        <w:jc w:val="both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lastRenderedPageBreak/>
        <w:t xml:space="preserve">         Віримо в нашу Перемогу та здійснення планів для розвитку та процвітання нашої громади.</w:t>
      </w:r>
      <w:bookmarkStart w:id="0" w:name="_GoBack"/>
      <w:bookmarkEnd w:id="0"/>
    </w:p>
    <w:p w:rsidR="008F3868" w:rsidRPr="0007486F" w:rsidRDefault="008F3868" w:rsidP="008F3868">
      <w:pPr>
        <w:pStyle w:val="a3"/>
        <w:rPr>
          <w:rFonts w:ascii="Times New Roman" w:hAnsi="Times New Roman"/>
          <w:sz w:val="27"/>
          <w:szCs w:val="27"/>
          <w:lang w:val="uk-UA"/>
        </w:rPr>
      </w:pPr>
      <w:r w:rsidRPr="0007486F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8F3868" w:rsidRPr="0007486F" w:rsidRDefault="008F3868" w:rsidP="008F3868">
      <w:pPr>
        <w:pStyle w:val="a3"/>
        <w:rPr>
          <w:rFonts w:ascii="Times New Roman" w:hAnsi="Times New Roman"/>
          <w:sz w:val="27"/>
          <w:szCs w:val="27"/>
          <w:lang w:val="uk-UA"/>
        </w:rPr>
      </w:pPr>
    </w:p>
    <w:p w:rsidR="00EE4CF1" w:rsidRDefault="008F3868" w:rsidP="008F3868">
      <w:r w:rsidRPr="0007486F">
        <w:rPr>
          <w:sz w:val="27"/>
          <w:szCs w:val="27"/>
          <w:lang w:val="uk-UA"/>
        </w:rPr>
        <w:t xml:space="preserve">Староста                                     </w:t>
      </w:r>
      <w:r>
        <w:rPr>
          <w:sz w:val="27"/>
          <w:szCs w:val="27"/>
          <w:lang w:val="uk-UA"/>
        </w:rPr>
        <w:t xml:space="preserve">              </w:t>
      </w:r>
      <w:r w:rsidRPr="0007486F">
        <w:rPr>
          <w:sz w:val="27"/>
          <w:szCs w:val="27"/>
          <w:lang w:val="uk-UA"/>
        </w:rPr>
        <w:t xml:space="preserve">                                    </w:t>
      </w:r>
      <w:r w:rsidR="00A0585C">
        <w:rPr>
          <w:sz w:val="27"/>
          <w:szCs w:val="27"/>
          <w:lang w:val="uk-UA"/>
        </w:rPr>
        <w:t xml:space="preserve">     </w:t>
      </w:r>
      <w:r w:rsidRPr="0007486F">
        <w:rPr>
          <w:sz w:val="27"/>
          <w:szCs w:val="27"/>
          <w:lang w:val="uk-UA"/>
        </w:rPr>
        <w:t>Надія ПАНФЕЛЮК</w:t>
      </w:r>
    </w:p>
    <w:sectPr w:rsidR="00EE4C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2529"/>
    <w:multiLevelType w:val="hybridMultilevel"/>
    <w:tmpl w:val="947AB7B2"/>
    <w:lvl w:ilvl="0" w:tplc="53C0871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FF0601"/>
    <w:multiLevelType w:val="hybridMultilevel"/>
    <w:tmpl w:val="66703744"/>
    <w:lvl w:ilvl="0" w:tplc="8CD6883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70"/>
    <w:rsid w:val="00157B37"/>
    <w:rsid w:val="00477570"/>
    <w:rsid w:val="008F3868"/>
    <w:rsid w:val="00A0585C"/>
    <w:rsid w:val="00F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5E24"/>
  <w15:chartTrackingRefBased/>
  <w15:docId w15:val="{D293AD33-D3DF-4C8F-9CB2-63EB4C4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86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8F38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3390</Words>
  <Characters>1933</Characters>
  <Application>Microsoft Office Word</Application>
  <DocSecurity>0</DocSecurity>
  <Lines>16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k1-3</dc:creator>
  <cp:keywords/>
  <dc:description/>
  <cp:lastModifiedBy>k1-3</cp:lastModifiedBy>
  <cp:revision>3</cp:revision>
  <dcterms:created xsi:type="dcterms:W3CDTF">2025-02-26T09:31:00Z</dcterms:created>
  <dcterms:modified xsi:type="dcterms:W3CDTF">2025-02-26T09:31:00Z</dcterms:modified>
</cp:coreProperties>
</file>