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3F270">
      <w:pPr>
        <w:pStyle w:val="5"/>
        <w:ind w:firstLine="6096"/>
        <w:jc w:val="right"/>
        <w:rPr>
          <w:rFonts w:eastAsia="Calibri"/>
          <w:sz w:val="22"/>
          <w:szCs w:val="22"/>
          <w:lang w:val="uk-UA"/>
        </w:rPr>
      </w:pPr>
      <w:r>
        <w:rPr>
          <w:rFonts w:eastAsia="Calibri"/>
          <w:sz w:val="22"/>
          <w:szCs w:val="22"/>
          <w:lang w:val="uk-UA"/>
        </w:rPr>
        <w:t>Додаток</w:t>
      </w:r>
      <w:r>
        <w:rPr>
          <w:sz w:val="22"/>
          <w:szCs w:val="22"/>
          <w:lang w:val="uk-UA"/>
        </w:rPr>
        <w:t xml:space="preserve"> 1</w:t>
      </w:r>
    </w:p>
    <w:p w14:paraId="67DAE2F8">
      <w:pPr>
        <w:pStyle w:val="5"/>
        <w:ind w:firstLine="6096"/>
        <w:jc w:val="right"/>
        <w:rPr>
          <w:rFonts w:eastAsia="Calibri"/>
          <w:sz w:val="22"/>
          <w:szCs w:val="22"/>
          <w:lang w:val="uk-UA"/>
        </w:rPr>
      </w:pPr>
      <w:r>
        <w:rPr>
          <w:rFonts w:eastAsia="Calibri"/>
          <w:sz w:val="22"/>
          <w:szCs w:val="22"/>
          <w:lang w:val="uk-UA"/>
        </w:rPr>
        <w:t>до  рішення виконавчого</w:t>
      </w:r>
    </w:p>
    <w:p w14:paraId="3819FBD8">
      <w:pPr>
        <w:pStyle w:val="5"/>
        <w:ind w:firstLine="6096"/>
        <w:jc w:val="right"/>
        <w:rPr>
          <w:rFonts w:eastAsia="Calibri"/>
          <w:sz w:val="22"/>
          <w:szCs w:val="22"/>
          <w:lang w:val="uk-UA"/>
        </w:rPr>
      </w:pPr>
      <w:r>
        <w:rPr>
          <w:rFonts w:eastAsia="Calibri"/>
          <w:sz w:val="22"/>
          <w:szCs w:val="22"/>
          <w:lang w:val="uk-UA"/>
        </w:rPr>
        <w:t>комітету міської ради</w:t>
      </w:r>
    </w:p>
    <w:p w14:paraId="46DD4E64">
      <w:pPr>
        <w:pStyle w:val="5"/>
        <w:ind w:firstLine="6096"/>
        <w:jc w:val="right"/>
        <w:rPr>
          <w:rFonts w:hint="default"/>
          <w:sz w:val="22"/>
          <w:szCs w:val="22"/>
          <w:lang w:val="uk-UA"/>
        </w:rPr>
      </w:pPr>
      <w:r>
        <w:rPr>
          <w:rFonts w:eastAsia="Calibri"/>
          <w:sz w:val="22"/>
          <w:szCs w:val="22"/>
          <w:lang w:val="uk-UA"/>
        </w:rPr>
        <w:t xml:space="preserve">від  ___________ № </w:t>
      </w:r>
      <w:r>
        <w:rPr>
          <w:rFonts w:hint="default" w:eastAsia="Calibri"/>
          <w:sz w:val="22"/>
          <w:szCs w:val="22"/>
          <w:lang w:val="uk-UA"/>
        </w:rPr>
        <w:t>_</w:t>
      </w:r>
    </w:p>
    <w:p w14:paraId="5C813ED7">
      <w:pPr>
        <w:jc w:val="center"/>
        <w:rPr>
          <w:sz w:val="28"/>
          <w:szCs w:val="28"/>
        </w:rPr>
      </w:pPr>
    </w:p>
    <w:p w14:paraId="1471CA6F">
      <w:pPr>
        <w:pStyle w:val="5"/>
        <w:ind w:firstLine="709"/>
        <w:jc w:val="center"/>
        <w:rPr>
          <w:sz w:val="28"/>
          <w:szCs w:val="28"/>
          <w:lang w:val="uk-UA"/>
        </w:rPr>
      </w:pPr>
      <w:r>
        <w:rPr>
          <w:sz w:val="28"/>
          <w:szCs w:val="28"/>
          <w:lang w:val="uk-UA"/>
        </w:rPr>
        <w:t>Перелік</w:t>
      </w:r>
    </w:p>
    <w:p w14:paraId="5B70BCCC">
      <w:pPr>
        <w:pStyle w:val="5"/>
        <w:ind w:firstLine="709"/>
        <w:jc w:val="center"/>
        <w:rPr>
          <w:sz w:val="28"/>
          <w:szCs w:val="28"/>
          <w:lang w:val="uk-UA"/>
        </w:rPr>
      </w:pPr>
      <w:r>
        <w:rPr>
          <w:sz w:val="28"/>
          <w:szCs w:val="28"/>
          <w:lang w:val="uk-UA"/>
        </w:rPr>
        <w:t>заходів щодо поліпшення стану військового обліку у 2026 році</w:t>
      </w:r>
    </w:p>
    <w:p w14:paraId="699FBFEB">
      <w:pPr>
        <w:pStyle w:val="5"/>
        <w:ind w:firstLine="709"/>
        <w:jc w:val="both"/>
        <w:rPr>
          <w:sz w:val="28"/>
          <w:szCs w:val="28"/>
          <w:lang w:val="uk-UA"/>
        </w:rPr>
      </w:pPr>
    </w:p>
    <w:p w14:paraId="6FD09F69">
      <w:pPr>
        <w:pStyle w:val="6"/>
        <w:numPr>
          <w:ilvl w:val="0"/>
          <w:numId w:val="1"/>
        </w:numPr>
        <w:spacing w:before="0" w:line="240" w:lineRule="auto"/>
        <w:ind w:left="0" w:firstLine="709"/>
        <w:jc w:val="both"/>
        <w:rPr>
          <w:b w:val="0"/>
          <w:color w:val="auto"/>
          <w:sz w:val="28"/>
          <w:szCs w:val="28"/>
        </w:rPr>
      </w:pPr>
      <w:r>
        <w:rPr>
          <w:b w:val="0"/>
          <w:color w:val="auto"/>
          <w:sz w:val="28"/>
          <w:szCs w:val="28"/>
        </w:rPr>
        <w:t xml:space="preserve">Керівникам підприємств, установ і організацій, незалежно від </w:t>
      </w:r>
      <w:r>
        <w:rPr>
          <w:rStyle w:val="7"/>
          <w:b w:val="0"/>
          <w:color w:val="auto"/>
          <w:sz w:val="28"/>
          <w:szCs w:val="28"/>
        </w:rPr>
        <w:t xml:space="preserve">форм </w:t>
      </w:r>
      <w:r>
        <w:rPr>
          <w:b w:val="0"/>
          <w:color w:val="auto"/>
          <w:sz w:val="28"/>
          <w:szCs w:val="28"/>
        </w:rPr>
        <w:t>власності і підпорядкування:</w:t>
      </w:r>
    </w:p>
    <w:p w14:paraId="7E27F3DD">
      <w:pPr>
        <w:pStyle w:val="5"/>
        <w:numPr>
          <w:ilvl w:val="1"/>
          <w:numId w:val="1"/>
        </w:numPr>
        <w:ind w:left="0" w:firstLine="709"/>
        <w:jc w:val="both"/>
        <w:rPr>
          <w:sz w:val="28"/>
          <w:szCs w:val="28"/>
          <w:lang w:val="uk-UA"/>
        </w:rPr>
      </w:pPr>
      <w:r>
        <w:rPr>
          <w:sz w:val="28"/>
          <w:szCs w:val="28"/>
          <w:lang w:val="uk-UA"/>
        </w:rPr>
        <w:t>Організувати та вести персональний облік призовників, військовозобов’язаних та резервістів (облік відомостей за місцем їх роботи, або навчання), згідно правил і форм.</w:t>
      </w:r>
    </w:p>
    <w:p w14:paraId="3C14630E">
      <w:pPr>
        <w:pStyle w:val="5"/>
        <w:numPr>
          <w:ilvl w:val="1"/>
          <w:numId w:val="1"/>
        </w:numPr>
        <w:ind w:left="0" w:firstLine="709"/>
        <w:jc w:val="both"/>
        <w:rPr>
          <w:sz w:val="28"/>
          <w:szCs w:val="28"/>
          <w:lang w:val="uk-UA"/>
        </w:rPr>
      </w:pPr>
      <w:r>
        <w:rPr>
          <w:sz w:val="28"/>
          <w:szCs w:val="28"/>
          <w:lang w:val="uk-UA"/>
        </w:rPr>
        <w:t>Перевіряти у громадян під час прийняття на роботу (навчання) наявність військово-облікових документів (у військовозобов’язаних – військових квитків, у призовників – посвідчень про приписку до призовних дільниць). Приймати на роботу (навчання) призовників, військовозобов’язаних та резервістів після взяття їх на військовий облік у РТЦК та СП, у відділі з питань ведення персонально-первинного військового обліку та мобілізації Звягельської міської ради, а також у разі перебування на військовому обліку в Службі безпеки та Службі зовнішньої розвідки України.</w:t>
      </w:r>
    </w:p>
    <w:p w14:paraId="3484D421">
      <w:pPr>
        <w:pStyle w:val="5"/>
        <w:numPr>
          <w:ilvl w:val="1"/>
          <w:numId w:val="1"/>
        </w:numPr>
        <w:ind w:left="0" w:firstLine="709"/>
        <w:jc w:val="both"/>
        <w:rPr>
          <w:sz w:val="28"/>
          <w:szCs w:val="28"/>
          <w:lang w:val="uk-UA"/>
        </w:rPr>
      </w:pPr>
      <w:r>
        <w:rPr>
          <w:sz w:val="28"/>
          <w:szCs w:val="28"/>
          <w:lang w:val="uk-UA"/>
        </w:rPr>
        <w:t>Вживати необхідні заходи для направлення осіб чоловічої статі віком до 60 років до Звягельського РТЦК та СП для уточнення військово-облікових даних та вирішення питання щодо їх перебування на військовому обліку.</w:t>
      </w:r>
    </w:p>
    <w:p w14:paraId="025CDB71">
      <w:pPr>
        <w:pStyle w:val="5"/>
        <w:numPr>
          <w:ilvl w:val="1"/>
          <w:numId w:val="1"/>
        </w:numPr>
        <w:ind w:left="0" w:firstLine="709"/>
        <w:jc w:val="both"/>
        <w:rPr>
          <w:sz w:val="28"/>
          <w:szCs w:val="28"/>
          <w:lang w:val="uk-UA"/>
        </w:rPr>
      </w:pPr>
      <w:r>
        <w:rPr>
          <w:sz w:val="28"/>
          <w:szCs w:val="28"/>
          <w:lang w:val="uk-UA"/>
        </w:rPr>
        <w:t xml:space="preserve">Вчасно оформляти документи для бронювання військовозобов’язаних на період мобілізації та у воєнний час. </w:t>
      </w:r>
    </w:p>
    <w:p w14:paraId="30A42C87">
      <w:pPr>
        <w:pStyle w:val="5"/>
        <w:numPr>
          <w:ilvl w:val="1"/>
          <w:numId w:val="1"/>
        </w:numPr>
        <w:ind w:left="0" w:firstLine="709"/>
        <w:jc w:val="both"/>
        <w:rPr>
          <w:sz w:val="28"/>
          <w:szCs w:val="28"/>
          <w:lang w:val="uk-UA"/>
        </w:rPr>
      </w:pPr>
      <w:r>
        <w:rPr>
          <w:sz w:val="28"/>
          <w:szCs w:val="28"/>
          <w:lang w:val="uk-UA"/>
        </w:rPr>
        <w:t xml:space="preserve">На вимогу Звягельського РТЦК та СП сповіщати призовників, військовозобов’язаних та резервістів про їх виклик до РТЦК та СП, забезпечувати своєчасне прибуття за цим викликом. </w:t>
      </w:r>
    </w:p>
    <w:p w14:paraId="7688DA32">
      <w:pPr>
        <w:pStyle w:val="5"/>
        <w:numPr>
          <w:ilvl w:val="1"/>
          <w:numId w:val="1"/>
        </w:numPr>
        <w:ind w:left="0" w:firstLine="709"/>
        <w:jc w:val="both"/>
        <w:rPr>
          <w:sz w:val="28"/>
          <w:szCs w:val="28"/>
          <w:lang w:val="uk-UA"/>
        </w:rPr>
      </w:pPr>
      <w:r>
        <w:rPr>
          <w:sz w:val="28"/>
          <w:szCs w:val="28"/>
          <w:lang w:val="uk-UA"/>
        </w:rPr>
        <w:t>Забезпечити відпрацювання списків персонального військового обліку на усіх призовників, військовозобов'язаних та резервістів, що працюють та навчаються в навчальних закладах.</w:t>
      </w:r>
    </w:p>
    <w:p w14:paraId="04E944AF">
      <w:pPr>
        <w:pStyle w:val="5"/>
        <w:jc w:val="both"/>
        <w:rPr>
          <w:sz w:val="28"/>
          <w:szCs w:val="28"/>
          <w:lang w:val="uk-UA"/>
        </w:rPr>
      </w:pPr>
    </w:p>
    <w:p w14:paraId="646F2BA2">
      <w:pPr>
        <w:pStyle w:val="6"/>
        <w:numPr>
          <w:ilvl w:val="0"/>
          <w:numId w:val="1"/>
        </w:numPr>
        <w:spacing w:before="0" w:line="240" w:lineRule="auto"/>
        <w:ind w:left="0" w:firstLine="709"/>
        <w:jc w:val="both"/>
        <w:rPr>
          <w:rStyle w:val="7"/>
          <w:b w:val="0"/>
          <w:color w:val="auto"/>
          <w:sz w:val="28"/>
          <w:szCs w:val="28"/>
        </w:rPr>
      </w:pPr>
      <w:r>
        <w:rPr>
          <w:rStyle w:val="7"/>
          <w:b w:val="0"/>
          <w:color w:val="auto"/>
          <w:sz w:val="28"/>
          <w:szCs w:val="28"/>
        </w:rPr>
        <w:t>Центру надання адміністративних послуг міської ради:</w:t>
      </w:r>
    </w:p>
    <w:p w14:paraId="43A79CD5">
      <w:pPr>
        <w:pStyle w:val="6"/>
        <w:numPr>
          <w:ilvl w:val="0"/>
          <w:numId w:val="2"/>
        </w:numPr>
        <w:tabs>
          <w:tab w:val="left" w:pos="993"/>
        </w:tabs>
        <w:spacing w:before="0" w:line="240" w:lineRule="auto"/>
        <w:ind w:left="0" w:firstLine="709"/>
        <w:jc w:val="both"/>
        <w:rPr>
          <w:b w:val="0"/>
          <w:bCs/>
          <w:color w:val="auto"/>
          <w:sz w:val="28"/>
          <w:szCs w:val="28"/>
        </w:rPr>
      </w:pPr>
      <w:r>
        <w:rPr>
          <w:b w:val="0"/>
          <w:snapToGrid w:val="0"/>
          <w:color w:val="auto"/>
          <w:sz w:val="28"/>
          <w:szCs w:val="28"/>
        </w:rPr>
        <w:t xml:space="preserve">здійснювати реєстрацію/зняття із задекларованого/зареєстрованого місця проживання призовників, </w:t>
      </w:r>
      <w:r>
        <w:rPr>
          <w:rFonts w:eastAsia="Courier New"/>
          <w:b w:val="0"/>
          <w:snapToGrid w:val="0"/>
          <w:color w:val="auto"/>
          <w:sz w:val="28"/>
          <w:szCs w:val="28"/>
        </w:rPr>
        <w:t xml:space="preserve">військовозобов’язаних та резервістів лише в разі наявності в їх військово-облікових документах позначок </w:t>
      </w:r>
      <w:r>
        <w:rPr>
          <w:b w:val="0"/>
          <w:color w:val="auto"/>
          <w:sz w:val="28"/>
          <w:szCs w:val="28"/>
        </w:rPr>
        <w:t>РТЦК та СП про зняття з військового обліку або перебування на військовому обліку за місцем проживання;</w:t>
      </w:r>
    </w:p>
    <w:p w14:paraId="5C95A36A">
      <w:pPr>
        <w:numPr>
          <w:ilvl w:val="0"/>
          <w:numId w:val="2"/>
        </w:numPr>
        <w:tabs>
          <w:tab w:val="left" w:pos="993"/>
        </w:tabs>
        <w:ind w:left="0" w:firstLine="709"/>
        <w:jc w:val="both"/>
        <w:rPr>
          <w:snapToGrid w:val="0"/>
          <w:sz w:val="28"/>
          <w:szCs w:val="28"/>
        </w:rPr>
      </w:pPr>
      <w:r>
        <w:rPr>
          <w:snapToGrid w:val="0"/>
          <w:sz w:val="28"/>
          <w:szCs w:val="28"/>
        </w:rPr>
        <w:t>надсилати щомісяця до 5 числа до Звягельського</w:t>
      </w:r>
      <w:r>
        <w:rPr>
          <w:sz w:val="28"/>
          <w:szCs w:val="28"/>
        </w:rPr>
        <w:t xml:space="preserve"> РТЦК та СП</w:t>
      </w:r>
      <w:r>
        <w:rPr>
          <w:snapToGrid w:val="0"/>
          <w:sz w:val="28"/>
          <w:szCs w:val="28"/>
        </w:rPr>
        <w:t xml:space="preserve"> та  </w:t>
      </w:r>
      <w:r>
        <w:rPr>
          <w:sz w:val="28"/>
          <w:szCs w:val="28"/>
        </w:rPr>
        <w:t>відділу з питань ведення персонально-первинного військового обліку та мобілізації Звягельської міської ради</w:t>
      </w:r>
      <w:r>
        <w:rPr>
          <w:snapToGrid w:val="0"/>
          <w:sz w:val="28"/>
          <w:szCs w:val="28"/>
        </w:rPr>
        <w:t xml:space="preserve"> повідомлення про реєстрацію (зняття з реєстрації) місця проживання призовників, військовозобов’язаних та резервістів;</w:t>
      </w:r>
    </w:p>
    <w:p w14:paraId="407A5645">
      <w:pPr>
        <w:numPr>
          <w:ilvl w:val="0"/>
          <w:numId w:val="2"/>
        </w:numPr>
        <w:tabs>
          <w:tab w:val="left" w:pos="993"/>
        </w:tabs>
        <w:ind w:left="0" w:firstLine="709"/>
        <w:jc w:val="both"/>
        <w:rPr>
          <w:snapToGrid w:val="0"/>
          <w:sz w:val="28"/>
          <w:szCs w:val="28"/>
        </w:rPr>
      </w:pPr>
      <w:r>
        <w:rPr>
          <w:snapToGrid w:val="0"/>
          <w:sz w:val="28"/>
          <w:szCs w:val="28"/>
        </w:rPr>
        <w:t>повідомляти про місце перебування зареєстрованих призовників, військовозобов’язаних та резервістів на запити Звягельського</w:t>
      </w:r>
      <w:r>
        <w:rPr>
          <w:sz w:val="28"/>
          <w:szCs w:val="28"/>
        </w:rPr>
        <w:t xml:space="preserve"> РТЦК та СП</w:t>
      </w:r>
      <w:r>
        <w:rPr>
          <w:snapToGrid w:val="0"/>
          <w:sz w:val="28"/>
          <w:szCs w:val="28"/>
        </w:rPr>
        <w:t>;</w:t>
      </w:r>
    </w:p>
    <w:p w14:paraId="58B6440E">
      <w:pPr>
        <w:pStyle w:val="4"/>
        <w:numPr>
          <w:ilvl w:val="0"/>
          <w:numId w:val="2"/>
        </w:numPr>
        <w:tabs>
          <w:tab w:val="left" w:pos="993"/>
        </w:tabs>
        <w:ind w:left="0" w:firstLine="709"/>
        <w:rPr>
          <w:sz w:val="28"/>
          <w:szCs w:val="28"/>
        </w:rPr>
      </w:pPr>
      <w:r>
        <w:rPr>
          <w:sz w:val="28"/>
          <w:szCs w:val="28"/>
        </w:rPr>
        <w:t>надавати Звягельському РТЦК та СП допомогу у прийнятті призовників, військовозобов’язаних та резервістів на військовий облік, здійснювати контроль за виконанням ними встановлених правил військового обліку та виявлення призовників, військовозобов’язаних та резервістів, які порушують зазначені правила. Повідомлення про виявлення таких осіб надсилати встановленим порядком до РТЦК та СП.</w:t>
      </w:r>
    </w:p>
    <w:p w14:paraId="1B3CC0AE">
      <w:pPr>
        <w:pStyle w:val="4"/>
        <w:tabs>
          <w:tab w:val="left" w:pos="993"/>
        </w:tabs>
        <w:ind w:firstLine="709"/>
        <w:rPr>
          <w:sz w:val="28"/>
          <w:szCs w:val="28"/>
        </w:rPr>
      </w:pPr>
    </w:p>
    <w:p w14:paraId="52F74BAD">
      <w:pPr>
        <w:pStyle w:val="6"/>
        <w:spacing w:before="0" w:line="240" w:lineRule="auto"/>
        <w:ind w:firstLine="709"/>
        <w:jc w:val="both"/>
        <w:rPr>
          <w:rStyle w:val="7"/>
          <w:b w:val="0"/>
          <w:color w:val="auto"/>
          <w:sz w:val="28"/>
          <w:szCs w:val="28"/>
        </w:rPr>
      </w:pPr>
      <w:bookmarkStart w:id="0" w:name="bookmark1"/>
      <w:r>
        <w:rPr>
          <w:rStyle w:val="7"/>
          <w:b w:val="0"/>
          <w:color w:val="auto"/>
          <w:sz w:val="28"/>
          <w:szCs w:val="28"/>
        </w:rPr>
        <w:t>3. Звягельському районному відділу Управління ДМС України в Житомирській області (за згодою):</w:t>
      </w:r>
      <w:bookmarkEnd w:id="0"/>
    </w:p>
    <w:p w14:paraId="38B27F80">
      <w:pPr>
        <w:pStyle w:val="8"/>
        <w:spacing w:before="0" w:line="240" w:lineRule="auto"/>
        <w:ind w:firstLine="709"/>
        <w:jc w:val="both"/>
        <w:rPr>
          <w:color w:val="auto"/>
          <w:sz w:val="28"/>
          <w:szCs w:val="28"/>
        </w:rPr>
      </w:pPr>
      <w:r>
        <w:rPr>
          <w:color w:val="auto"/>
          <w:sz w:val="28"/>
          <w:szCs w:val="28"/>
        </w:rPr>
        <w:t>- надсилати у двотижневий строк до РТЦК та СП відомості про випадки виявлення громадян, які не перебувають, проте повинні перебувати на військовому обліку, а також відомості про осіб, які отримали громадянство України і повинні бути взяті на військовий облік.</w:t>
      </w:r>
    </w:p>
    <w:p w14:paraId="6F6B11F7">
      <w:pPr>
        <w:pStyle w:val="8"/>
        <w:spacing w:before="0" w:line="240" w:lineRule="auto"/>
        <w:ind w:firstLine="709"/>
        <w:jc w:val="both"/>
        <w:rPr>
          <w:color w:val="auto"/>
          <w:sz w:val="28"/>
          <w:szCs w:val="28"/>
        </w:rPr>
      </w:pPr>
    </w:p>
    <w:p w14:paraId="0ED10E19">
      <w:pPr>
        <w:pStyle w:val="6"/>
        <w:spacing w:before="0" w:line="240" w:lineRule="auto"/>
        <w:ind w:firstLine="709"/>
        <w:jc w:val="both"/>
        <w:rPr>
          <w:rStyle w:val="7"/>
          <w:b w:val="0"/>
          <w:color w:val="auto"/>
          <w:sz w:val="28"/>
          <w:szCs w:val="28"/>
        </w:rPr>
      </w:pPr>
      <w:bookmarkStart w:id="1" w:name="bookmark2"/>
      <w:r>
        <w:rPr>
          <w:rStyle w:val="7"/>
          <w:b w:val="0"/>
          <w:color w:val="auto"/>
          <w:sz w:val="28"/>
          <w:szCs w:val="28"/>
        </w:rPr>
        <w:t>4. Звягельському районному відділу поліції ГУ НП України в Житомирській області</w:t>
      </w:r>
      <w:bookmarkEnd w:id="1"/>
      <w:r>
        <w:rPr>
          <w:rStyle w:val="7"/>
          <w:b w:val="0"/>
          <w:color w:val="auto"/>
          <w:sz w:val="28"/>
          <w:szCs w:val="28"/>
        </w:rPr>
        <w:t xml:space="preserve"> (за згодою):</w:t>
      </w:r>
    </w:p>
    <w:p w14:paraId="1F1F9CBD">
      <w:pPr>
        <w:pStyle w:val="8"/>
        <w:spacing w:before="0" w:line="240" w:lineRule="auto"/>
        <w:ind w:firstLine="709"/>
        <w:jc w:val="both"/>
        <w:rPr>
          <w:color w:val="auto"/>
          <w:sz w:val="28"/>
          <w:szCs w:val="28"/>
        </w:rPr>
      </w:pPr>
      <w:r>
        <w:rPr>
          <w:color w:val="auto"/>
          <w:sz w:val="28"/>
          <w:szCs w:val="28"/>
        </w:rPr>
        <w:t>- надавати поіменні списки військовозобов’язаних (витяг із наказу), які перебувають на військовому обліку, зарахованих в органи Національної поліції та підлягають зняттю з військового обліку військовозобов'язаних;</w:t>
      </w:r>
    </w:p>
    <w:p w14:paraId="22AB0A7D">
      <w:pPr>
        <w:pStyle w:val="4"/>
        <w:ind w:firstLine="709"/>
        <w:rPr>
          <w:sz w:val="28"/>
          <w:szCs w:val="28"/>
        </w:rPr>
      </w:pPr>
      <w:r>
        <w:rPr>
          <w:sz w:val="28"/>
          <w:szCs w:val="28"/>
        </w:rPr>
        <w:t>- за зверненням Звягельського РТЦК та СП здійснювати досудове розслідування стосовно ухилення призовників, військовозобов’язаних та резервістів від військового обліку;</w:t>
      </w:r>
    </w:p>
    <w:p w14:paraId="7EC52CB0">
      <w:pPr>
        <w:pStyle w:val="4"/>
        <w:ind w:firstLine="709"/>
        <w:rPr>
          <w:sz w:val="28"/>
          <w:szCs w:val="28"/>
        </w:rPr>
      </w:pPr>
      <w:r>
        <w:rPr>
          <w:sz w:val="28"/>
          <w:szCs w:val="28"/>
        </w:rPr>
        <w:t>- за зверненням органів місцевого самоврядування та Звягельського РТЦК та СП здійснювати розшук, затримання і доставку до РТЦК та СП громадян, які ухиляються від виконання військового обов’язку.</w:t>
      </w:r>
    </w:p>
    <w:p w14:paraId="7B513971">
      <w:pPr>
        <w:pStyle w:val="8"/>
        <w:spacing w:before="0" w:line="240" w:lineRule="auto"/>
        <w:ind w:firstLine="709"/>
        <w:jc w:val="both"/>
        <w:rPr>
          <w:color w:val="auto"/>
          <w:sz w:val="28"/>
          <w:szCs w:val="28"/>
        </w:rPr>
      </w:pPr>
    </w:p>
    <w:p w14:paraId="677F2A37">
      <w:pPr>
        <w:pStyle w:val="6"/>
        <w:spacing w:before="0" w:line="240" w:lineRule="auto"/>
        <w:ind w:firstLine="709"/>
        <w:jc w:val="both"/>
        <w:rPr>
          <w:rStyle w:val="7"/>
          <w:b w:val="0"/>
          <w:color w:val="auto"/>
          <w:sz w:val="28"/>
          <w:szCs w:val="28"/>
        </w:rPr>
      </w:pPr>
      <w:bookmarkStart w:id="2" w:name="bookmark3"/>
      <w:r>
        <w:rPr>
          <w:rStyle w:val="7"/>
          <w:b w:val="0"/>
          <w:color w:val="auto"/>
          <w:sz w:val="28"/>
          <w:szCs w:val="28"/>
        </w:rPr>
        <w:t xml:space="preserve">5. </w:t>
      </w:r>
      <w:bookmarkEnd w:id="2"/>
      <w:r>
        <w:rPr>
          <w:b w:val="0"/>
          <w:color w:val="auto"/>
          <w:sz w:val="28"/>
          <w:szCs w:val="28"/>
        </w:rPr>
        <w:t>Звягельському відділу державної реєстрації актів цивільного стану у Звягельському районі Житомирської області Центрального міжрегіонального управління Міністерства юстиції (м. Київ)</w:t>
      </w:r>
      <w:r>
        <w:rPr>
          <w:rStyle w:val="7"/>
          <w:b w:val="0"/>
          <w:color w:val="auto"/>
          <w:sz w:val="28"/>
          <w:szCs w:val="28"/>
        </w:rPr>
        <w:t xml:space="preserve"> (за згодою):</w:t>
      </w:r>
    </w:p>
    <w:p w14:paraId="249DB153">
      <w:pPr>
        <w:pStyle w:val="4"/>
        <w:ind w:firstLine="709"/>
        <w:rPr>
          <w:sz w:val="28"/>
          <w:szCs w:val="28"/>
        </w:rPr>
      </w:pPr>
      <w:bookmarkStart w:id="3" w:name="bookmark4"/>
      <w:r>
        <w:rPr>
          <w:sz w:val="28"/>
          <w:szCs w:val="28"/>
        </w:rPr>
        <w:t>- повідомляти у семиденний строк після звернення громадян щодо реєстрації актів цивільного стану районним (міським) територіальним центрам комплектування та соціальної підтримки, в яких перебувають на військовому обліку призовники, військовозобов’язані та резервісти, про зміну їх прізвища, імені та по батькові, одруження (розлучення), реєстрацію смерті призовників, військовозобов’язаних та резервістів, вилучення військово-облікових документів, пільгових посвідчень, а також зміну інших даних.</w:t>
      </w:r>
    </w:p>
    <w:p w14:paraId="66D1CB3A">
      <w:pPr>
        <w:pStyle w:val="4"/>
        <w:ind w:firstLine="709"/>
        <w:rPr>
          <w:sz w:val="28"/>
          <w:szCs w:val="28"/>
        </w:rPr>
      </w:pPr>
    </w:p>
    <w:bookmarkEnd w:id="3"/>
    <w:p w14:paraId="3510DAD8">
      <w:pPr>
        <w:pStyle w:val="6"/>
        <w:spacing w:before="0" w:line="240" w:lineRule="auto"/>
        <w:ind w:firstLine="709"/>
        <w:jc w:val="both"/>
        <w:rPr>
          <w:rStyle w:val="7"/>
          <w:b w:val="0"/>
          <w:color w:val="auto"/>
          <w:sz w:val="28"/>
          <w:szCs w:val="28"/>
        </w:rPr>
      </w:pPr>
      <w:r>
        <w:rPr>
          <w:rStyle w:val="7"/>
          <w:b w:val="0"/>
          <w:color w:val="auto"/>
          <w:sz w:val="28"/>
          <w:szCs w:val="28"/>
        </w:rPr>
        <w:t>6. Звягельському міськрайонному суду Житомирської області (за згодою):</w:t>
      </w:r>
    </w:p>
    <w:p w14:paraId="4B8ED60E">
      <w:pPr>
        <w:ind w:firstLine="709"/>
        <w:jc w:val="both"/>
        <w:rPr>
          <w:snapToGrid w:val="0"/>
          <w:sz w:val="28"/>
          <w:szCs w:val="28"/>
        </w:rPr>
      </w:pPr>
      <w:r>
        <w:rPr>
          <w:snapToGrid w:val="0"/>
          <w:sz w:val="28"/>
          <w:szCs w:val="28"/>
        </w:rPr>
        <w:t>- повідомляти у семиденний строк</w:t>
      </w:r>
      <w:r>
        <w:rPr>
          <w:sz w:val="28"/>
          <w:szCs w:val="28"/>
        </w:rPr>
        <w:t xml:space="preserve"> Звягельський РТЦК та СП </w:t>
      </w:r>
      <w:r>
        <w:rPr>
          <w:snapToGrid w:val="0"/>
          <w:sz w:val="28"/>
          <w:szCs w:val="28"/>
        </w:rPr>
        <w:t>про призовників, щодо яких розглядаються кримінальні провадження судом, а також про вироки щодо призовників, військовозобов’язаних та резервістів, які набрали законної сили;</w:t>
      </w:r>
    </w:p>
    <w:p w14:paraId="4F6FEB6A">
      <w:pPr>
        <w:ind w:firstLine="709"/>
        <w:jc w:val="both"/>
        <w:rPr>
          <w:snapToGrid w:val="0"/>
          <w:sz w:val="28"/>
          <w:szCs w:val="28"/>
        </w:rPr>
      </w:pPr>
      <w:r>
        <w:rPr>
          <w:snapToGrid w:val="0"/>
          <w:sz w:val="28"/>
          <w:szCs w:val="28"/>
        </w:rPr>
        <w:t>- вилучати та надсилати до Звягельського</w:t>
      </w:r>
      <w:r>
        <w:rPr>
          <w:sz w:val="28"/>
          <w:szCs w:val="28"/>
        </w:rPr>
        <w:t xml:space="preserve"> РТЦК та СП </w:t>
      </w:r>
      <w:r>
        <w:rPr>
          <w:snapToGrid w:val="0"/>
          <w:sz w:val="28"/>
          <w:szCs w:val="28"/>
        </w:rPr>
        <w:t>військово-облікові документи призовників, військовозобов’язаних та резервістів, засуджених до позбавлення волі, обмеження волі або арешту.</w:t>
      </w:r>
    </w:p>
    <w:p w14:paraId="3A1BBD02">
      <w:pPr>
        <w:pStyle w:val="5"/>
        <w:jc w:val="both"/>
        <w:rPr>
          <w:sz w:val="28"/>
          <w:szCs w:val="28"/>
          <w:lang w:val="uk-UA"/>
        </w:rPr>
      </w:pPr>
    </w:p>
    <w:p w14:paraId="6556CC21">
      <w:pPr>
        <w:pStyle w:val="5"/>
        <w:jc w:val="both"/>
        <w:rPr>
          <w:sz w:val="28"/>
          <w:szCs w:val="20"/>
          <w:lang w:val="uk-UA"/>
        </w:rPr>
      </w:pPr>
      <w:r>
        <w:rPr>
          <w:sz w:val="28"/>
          <w:szCs w:val="20"/>
          <w:lang w:val="uk-UA"/>
        </w:rPr>
        <w:t>Керуючий справами виконавчого</w:t>
      </w:r>
    </w:p>
    <w:p w14:paraId="067962C0">
      <w:pPr>
        <w:pStyle w:val="5"/>
        <w:jc w:val="both"/>
        <w:rPr>
          <w:sz w:val="28"/>
          <w:szCs w:val="28"/>
          <w:lang w:val="uk-UA"/>
        </w:rPr>
      </w:pPr>
      <w:r>
        <w:rPr>
          <w:sz w:val="28"/>
          <w:szCs w:val="20"/>
          <w:lang w:val="uk-UA"/>
        </w:rPr>
        <w:t xml:space="preserve">комітету міської ради </w:t>
      </w:r>
      <w:r>
        <w:rPr>
          <w:sz w:val="28"/>
          <w:szCs w:val="20"/>
          <w:lang w:val="uk-UA"/>
        </w:rPr>
        <w:tab/>
      </w:r>
      <w:r>
        <w:rPr>
          <w:sz w:val="28"/>
          <w:szCs w:val="20"/>
          <w:lang w:val="uk-UA"/>
        </w:rPr>
        <w:tab/>
      </w:r>
      <w:r>
        <w:rPr>
          <w:sz w:val="28"/>
          <w:szCs w:val="20"/>
          <w:lang w:val="uk-UA"/>
        </w:rPr>
        <w:tab/>
      </w:r>
      <w:r>
        <w:rPr>
          <w:sz w:val="28"/>
          <w:szCs w:val="20"/>
          <w:lang w:val="uk-UA"/>
        </w:rPr>
        <w:tab/>
      </w:r>
      <w:r>
        <w:rPr>
          <w:sz w:val="28"/>
          <w:szCs w:val="20"/>
          <w:lang w:val="uk-UA"/>
        </w:rPr>
        <w:tab/>
      </w:r>
      <w:bookmarkStart w:id="4" w:name="_GoBack"/>
      <w:bookmarkEnd w:id="4"/>
      <w:r>
        <w:rPr>
          <w:sz w:val="28"/>
          <w:szCs w:val="20"/>
          <w:lang w:val="uk-UA"/>
        </w:rPr>
        <w:t>Олександр ДОЛЯ</w:t>
      </w:r>
    </w:p>
    <w:p w14:paraId="431287E9">
      <w:pPr>
        <w:pStyle w:val="5"/>
        <w:ind w:firstLine="709"/>
        <w:jc w:val="both"/>
        <w:rPr>
          <w:sz w:val="28"/>
          <w:szCs w:val="28"/>
          <w:lang w:val="uk-UA"/>
        </w:rPr>
      </w:pPr>
    </w:p>
    <w:p w14:paraId="3C061DF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877D4"/>
    <w:multiLevelType w:val="multilevel"/>
    <w:tmpl w:val="151877D4"/>
    <w:lvl w:ilvl="0" w:tentative="0">
      <w:start w:val="0"/>
      <w:numFmt w:val="bullet"/>
      <w:lvlText w:val="-"/>
      <w:lvlJc w:val="left"/>
      <w:pPr>
        <w:ind w:left="1429" w:hanging="360"/>
      </w:pPr>
      <w:rPr>
        <w:rFonts w:hint="default" w:ascii="Times New Roman" w:hAnsi="Times New Roman" w:eastAsia="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23B639E6"/>
    <w:multiLevelType w:val="multilevel"/>
    <w:tmpl w:val="23B639E6"/>
    <w:lvl w:ilvl="0" w:tentative="0">
      <w:start w:val="1"/>
      <w:numFmt w:val="decimal"/>
      <w:lvlText w:val="%1."/>
      <w:lvlJc w:val="left"/>
      <w:pPr>
        <w:ind w:left="1264" w:hanging="555"/>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509" w:hanging="180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B33F8"/>
    <w:rsid w:val="7A3B3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uk-UA"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Indent"/>
    <w:basedOn w:val="1"/>
    <w:uiPriority w:val="0"/>
    <w:pPr>
      <w:ind w:firstLine="720"/>
      <w:jc w:val="both"/>
    </w:pPr>
    <w:rPr>
      <w:iCs/>
      <w:szCs w:val="20"/>
      <w:lang w:val="uk-UA"/>
    </w:rPr>
  </w:style>
  <w:style w:type="paragraph" w:styleId="5">
    <w:name w:val="No Spacing"/>
    <w:qFormat/>
    <w:uiPriority w:val="1"/>
    <w:rPr>
      <w:rFonts w:ascii="Times New Roman" w:hAnsi="Times New Roman" w:eastAsia="Times New Roman" w:cs="Times New Roman"/>
      <w:sz w:val="24"/>
      <w:szCs w:val="24"/>
      <w:lang w:val="ru-RU" w:eastAsia="ru-RU" w:bidi="ar-SA"/>
    </w:rPr>
  </w:style>
  <w:style w:type="paragraph" w:customStyle="1" w:styleId="6">
    <w:name w:val="Основной текст (5)"/>
    <w:basedOn w:val="1"/>
    <w:uiPriority w:val="0"/>
    <w:pPr>
      <w:widowControl w:val="0"/>
      <w:spacing w:before="120" w:line="274" w:lineRule="exact"/>
    </w:pPr>
    <w:rPr>
      <w:b/>
      <w:color w:val="000000"/>
      <w:sz w:val="23"/>
      <w:szCs w:val="20"/>
    </w:rPr>
  </w:style>
  <w:style w:type="character" w:customStyle="1" w:styleId="7">
    <w:name w:val="Основной текст (5) + Не полужирный"/>
    <w:uiPriority w:val="0"/>
    <w:rPr>
      <w:rFonts w:ascii="Times New Roman" w:hAnsi="Times New Roman" w:eastAsia="Times New Roman" w:cs="Times New Roman"/>
      <w:b/>
      <w:bCs/>
      <w:color w:val="000000"/>
      <w:spacing w:val="0"/>
      <w:w w:val="100"/>
      <w:position w:val="0"/>
      <w:sz w:val="23"/>
      <w:szCs w:val="23"/>
      <w:u w:val="none"/>
      <w:lang w:val="uk-UA"/>
    </w:rPr>
  </w:style>
  <w:style w:type="paragraph" w:customStyle="1" w:styleId="8">
    <w:name w:val="Основной текст2"/>
    <w:basedOn w:val="1"/>
    <w:qFormat/>
    <w:uiPriority w:val="0"/>
    <w:pPr>
      <w:widowControl w:val="0"/>
      <w:spacing w:before="540" w:line="274" w:lineRule="exact"/>
    </w:pPr>
    <w:rPr>
      <w:color w:val="000000"/>
      <w:sz w:val="23"/>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2026-01-13T09:45:00Z</dcterms:created>
  <dc:creator>Professional</dc:creator>
  <cp:lastModifiedBy>Professional</cp:lastModifiedBy>
  <dcterms:modified xsi:type="dcterms:W3CDTF">2026-01-13T09:46:32Z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800367374B244362A7CAD294F377D2BE_11</vt:lpwstr>
  </property>
</Properties>
</file>