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74" w:rsidRPr="00823374" w:rsidRDefault="00823374" w:rsidP="00823374">
      <w:pPr>
        <w:tabs>
          <w:tab w:val="center" w:pos="4677"/>
          <w:tab w:val="left" w:pos="6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ru-RU"/>
        </w:rPr>
        <w:t>ПРОЄКТ КОМПЛЕКСНОЇ ПРОГРАМИ</w:t>
      </w:r>
    </w:p>
    <w:p w:rsidR="00A11477" w:rsidRDefault="00823374" w:rsidP="0082337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33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розвитку та фінансової підтримки </w:t>
      </w:r>
    </w:p>
    <w:p w:rsidR="00823374" w:rsidRPr="00823374" w:rsidRDefault="00823374" w:rsidP="0082337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33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комунальних некомерційних закладів охорони здоров’я Звягельської міської територіальної громади  на 2027-2029 роки</w:t>
      </w:r>
    </w:p>
    <w:p w:rsidR="00823374" w:rsidRPr="00A11477" w:rsidRDefault="00823374" w:rsidP="00A11477">
      <w:pPr>
        <w:pStyle w:val="a6"/>
        <w:numPr>
          <w:ilvl w:val="0"/>
          <w:numId w:val="2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A11477">
        <w:rPr>
          <w:rFonts w:ascii="Times New Roman" w:eastAsia="Times New Roman" w:hAnsi="Times New Roman"/>
          <w:b/>
          <w:bCs/>
          <w:color w:val="00000A"/>
          <w:sz w:val="24"/>
          <w:szCs w:val="24"/>
          <w:lang w:val="uk-UA" w:eastAsia="ru-RU"/>
        </w:rPr>
        <w:t>ПАСПОРТ  ПРОГРАМИ</w:t>
      </w:r>
    </w:p>
    <w:tbl>
      <w:tblPr>
        <w:tblW w:w="9704" w:type="dxa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675"/>
        <w:gridCol w:w="3075"/>
        <w:gridCol w:w="1984"/>
        <w:gridCol w:w="1985"/>
        <w:gridCol w:w="1985"/>
      </w:tblGrid>
      <w:tr w:rsidR="00823374" w:rsidRPr="00823374" w:rsidTr="00AE68BA">
        <w:trPr>
          <w:trHeight w:val="647"/>
        </w:trPr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1.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Відділ з питань охорони здоров’я та медичного забезпечення Звягельської міської ради.</w:t>
            </w:r>
          </w:p>
        </w:tc>
      </w:tr>
      <w:tr w:rsidR="00823374" w:rsidRPr="00823374" w:rsidTr="00AE68BA"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 xml:space="preserve">Дата, номер і </w:t>
            </w:r>
            <w:proofErr w:type="spellStart"/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>назва</w:t>
            </w:r>
            <w:proofErr w:type="spellEnd"/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>розпорядчого</w:t>
            </w:r>
            <w:proofErr w:type="spellEnd"/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 xml:space="preserve"> документа про </w:t>
            </w:r>
            <w:proofErr w:type="spellStart"/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>розроблення</w:t>
            </w:r>
            <w:proofErr w:type="spellEnd"/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>Програми</w:t>
            </w:r>
            <w:proofErr w:type="spellEnd"/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23.03.2026 №77(О) Розпорядження міського голови «Про розроблення проєкту Комплексної програми розвитку та фінансової підтримки комунальних закладів охорони здоров'я Звягельської міської територіальної громади на 2027-2029 роки».</w:t>
            </w:r>
          </w:p>
        </w:tc>
      </w:tr>
      <w:tr w:rsidR="00823374" w:rsidRPr="00823374" w:rsidTr="00AE68BA"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3.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Відділ з питань охорони здоров’я та медичного забезпечення Звягельської міської ради.</w:t>
            </w:r>
          </w:p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Робоча група Розпорядження міського голови від 16.04.2026 №100 (о).</w:t>
            </w:r>
          </w:p>
        </w:tc>
      </w:tr>
      <w:tr w:rsidR="00823374" w:rsidRPr="00823374" w:rsidTr="00AE68BA"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954" w:type="dxa"/>
            <w:gridSpan w:val="3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Відділ з питань охорони здоров’я та медичного забезпечення Звягельської міської ради.</w:t>
            </w:r>
          </w:p>
        </w:tc>
      </w:tr>
      <w:tr w:rsidR="00823374" w:rsidRPr="001E744F" w:rsidTr="00AE68BA"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val="uk-UA" w:eastAsia="ru-RU" w:bidi="uk-UA"/>
              </w:rPr>
              <w:t>Виконавці Програми</w:t>
            </w:r>
          </w:p>
        </w:tc>
        <w:tc>
          <w:tcPr>
            <w:tcW w:w="5954" w:type="dxa"/>
            <w:gridSpan w:val="3"/>
            <w:shd w:val="clear" w:color="auto" w:fill="FFFFFF"/>
            <w:tcMar>
              <w:left w:w="103" w:type="dxa"/>
            </w:tcMar>
          </w:tcPr>
          <w:p w:rsidR="00823374" w:rsidRPr="00823374" w:rsidRDefault="00823374" w:rsidP="00A1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з питань охорони здоров’я та медичного забезпечення Звягельської міської ради, </w:t>
            </w:r>
            <w:r w:rsidR="00A114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</w:t>
            </w:r>
            <w:r w:rsidRPr="00823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«Звягельська багатопрофільна лікарня» Звягельської міської ради,  </w:t>
            </w:r>
            <w:r w:rsidR="00A114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</w:t>
            </w:r>
            <w:r w:rsidRPr="00823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«Центр первинної медико-санітарної допомоги» Звягельської міської ради, </w:t>
            </w:r>
            <w:r w:rsidR="00A114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</w:t>
            </w:r>
            <w:r w:rsidRPr="00823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«Стоматологічна поліклініка» Звягельської міської ради.</w:t>
            </w:r>
          </w:p>
        </w:tc>
      </w:tr>
      <w:tr w:rsidR="00823374" w:rsidRPr="00823374" w:rsidTr="00AE68BA"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val="uk-UA" w:eastAsia="ru-RU"/>
              </w:rPr>
              <w:t>Термін реалізації Програми </w:t>
            </w:r>
          </w:p>
        </w:tc>
        <w:tc>
          <w:tcPr>
            <w:tcW w:w="5954" w:type="dxa"/>
            <w:gridSpan w:val="3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2027–2029 роки</w:t>
            </w:r>
          </w:p>
        </w:tc>
      </w:tr>
      <w:tr w:rsidR="00823374" w:rsidRPr="001E744F" w:rsidTr="00AE68BA">
        <w:trPr>
          <w:trHeight w:val="667"/>
        </w:trPr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Мета Програми</w:t>
            </w:r>
          </w:p>
        </w:tc>
        <w:tc>
          <w:tcPr>
            <w:tcW w:w="5954" w:type="dxa"/>
            <w:gridSpan w:val="3"/>
            <w:shd w:val="clear" w:color="auto" w:fill="FFFFFF"/>
            <w:tcMar>
              <w:left w:w="103" w:type="dxa"/>
            </w:tcMar>
          </w:tcPr>
          <w:p w:rsidR="00823374" w:rsidRPr="00823374" w:rsidRDefault="00823374" w:rsidP="00823374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Медична практика, спрямована на збереження, поліпшення та відновлення здоров’я населення, здійснення іншої діяльності в сфері охорони здоров’я, необхідної для належного забезпечення профілактики, діагностики і лікування хвороб, травм, отруєнь чи інших розладів здоров’я, іншої діяльності, розвиток медичної бази шляхом технічного забезпечення.</w:t>
            </w:r>
          </w:p>
        </w:tc>
      </w:tr>
      <w:tr w:rsidR="006C7AA4" w:rsidRPr="00823374" w:rsidTr="006C7AA4">
        <w:trPr>
          <w:trHeight w:val="379"/>
        </w:trPr>
        <w:tc>
          <w:tcPr>
            <w:tcW w:w="675" w:type="dxa"/>
            <w:vMerge w:val="restart"/>
            <w:shd w:val="clear" w:color="auto" w:fill="FFFFFF"/>
            <w:tcMar>
              <w:left w:w="103" w:type="dxa"/>
            </w:tcMar>
          </w:tcPr>
          <w:p w:rsidR="006C7AA4" w:rsidRPr="00823374" w:rsidRDefault="006C7AA4" w:rsidP="00823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075" w:type="dxa"/>
            <w:vMerge w:val="restart"/>
            <w:shd w:val="clear" w:color="auto" w:fill="FFFFFF"/>
            <w:tcMar>
              <w:left w:w="103" w:type="dxa"/>
            </w:tcMar>
          </w:tcPr>
          <w:p w:rsidR="006C7AA4" w:rsidRDefault="006C7AA4" w:rsidP="008233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uk-UA" w:eastAsia="uk-UA" w:bidi="uk-UA"/>
              </w:rPr>
              <w:t>Загальний обсяг фінансових ресурсів, необхідних для реалізації Програми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 </w:t>
            </w:r>
            <w:r w:rsidRPr="00823374">
              <w:rPr>
                <w:rFonts w:ascii="Times New Roman" w:hAnsi="Times New Roman" w:cs="Times New Roman"/>
                <w:sz w:val="24"/>
                <w:szCs w:val="24"/>
              </w:rPr>
              <w:t xml:space="preserve">млн </w:t>
            </w:r>
            <w:proofErr w:type="spellStart"/>
            <w:r w:rsidRPr="00823374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  всього: </w:t>
            </w:r>
          </w:p>
          <w:p w:rsidR="006C7AA4" w:rsidRPr="00823374" w:rsidRDefault="006C7AA4" w:rsidP="008233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uk-UA" w:eastAsia="uk-UA" w:bidi="uk-UA"/>
              </w:rPr>
              <w:t>зокрема:</w:t>
            </w:r>
          </w:p>
          <w:p w:rsidR="006C7AA4" w:rsidRPr="00823374" w:rsidRDefault="006C7AA4" w:rsidP="008233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- коштів бюджету міської територіальної  громади;      </w:t>
            </w:r>
            <w:r w:rsidRPr="0082337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val="uk-UA" w:eastAsia="uk-UA" w:bidi="uk-UA"/>
              </w:rPr>
              <w:t>- інші джерела.</w:t>
            </w:r>
          </w:p>
        </w:tc>
        <w:tc>
          <w:tcPr>
            <w:tcW w:w="1984" w:type="dxa"/>
            <w:shd w:val="clear" w:color="auto" w:fill="FFFFFF"/>
            <w:tcMar>
              <w:left w:w="103" w:type="dxa"/>
            </w:tcMar>
          </w:tcPr>
          <w:p w:rsidR="006C7AA4" w:rsidRDefault="006C7AA4" w:rsidP="006C7AA4">
            <w:pPr>
              <w:spacing w:before="280" w:beforeAutospacing="1" w:after="28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     2027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р.                     </w:t>
            </w:r>
          </w:p>
        </w:tc>
        <w:tc>
          <w:tcPr>
            <w:tcW w:w="1985" w:type="dxa"/>
            <w:shd w:val="clear" w:color="auto" w:fill="FFFFFF"/>
          </w:tcPr>
          <w:p w:rsidR="006C7AA4" w:rsidRPr="006C7AA4" w:rsidRDefault="006C7AA4" w:rsidP="00DF7D98">
            <w:pPr>
              <w:pStyle w:val="a7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 р.</w:t>
            </w:r>
          </w:p>
          <w:p w:rsidR="006C7AA4" w:rsidRDefault="006C7AA4" w:rsidP="00DF7D98">
            <w:pPr>
              <w:pStyle w:val="a7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C7AA4" w:rsidRPr="00823374" w:rsidRDefault="006C7AA4" w:rsidP="00DF7D98">
            <w:pPr>
              <w:pStyle w:val="a7"/>
              <w:ind w:left="7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 р.</w:t>
            </w:r>
            <w:r w:rsidRPr="00823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374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       </w:t>
            </w:r>
          </w:p>
        </w:tc>
      </w:tr>
      <w:tr w:rsidR="006C7AA4" w:rsidRPr="00823374" w:rsidTr="00660CB7">
        <w:trPr>
          <w:trHeight w:val="1102"/>
        </w:trPr>
        <w:tc>
          <w:tcPr>
            <w:tcW w:w="675" w:type="dxa"/>
            <w:vMerge/>
            <w:shd w:val="clear" w:color="auto" w:fill="FFFFFF"/>
            <w:tcMar>
              <w:left w:w="103" w:type="dxa"/>
            </w:tcMar>
          </w:tcPr>
          <w:p w:rsidR="006C7AA4" w:rsidRPr="00823374" w:rsidRDefault="006C7AA4" w:rsidP="006C7A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</w:p>
        </w:tc>
        <w:tc>
          <w:tcPr>
            <w:tcW w:w="3075" w:type="dxa"/>
            <w:vMerge/>
            <w:shd w:val="clear" w:color="auto" w:fill="FFFFFF"/>
            <w:tcMar>
              <w:left w:w="103" w:type="dxa"/>
            </w:tcMar>
          </w:tcPr>
          <w:p w:rsidR="006C7AA4" w:rsidRPr="00823374" w:rsidRDefault="006C7AA4" w:rsidP="006C7A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1984" w:type="dxa"/>
            <w:shd w:val="clear" w:color="auto" w:fill="FFFFFF"/>
            <w:tcMar>
              <w:left w:w="103" w:type="dxa"/>
            </w:tcMar>
          </w:tcPr>
          <w:p w:rsidR="006C7AA4" w:rsidRPr="00764B60" w:rsidRDefault="006C7AA4" w:rsidP="006C7AA4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 w:rsidRPr="00764B60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 </w:t>
            </w:r>
          </w:p>
          <w:p w:rsidR="006C7AA4" w:rsidRDefault="006C7AA4" w:rsidP="006C7AA4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402 </w:t>
            </w:r>
            <w:r w:rsidR="0063434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51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5,5</w:t>
            </w:r>
          </w:p>
          <w:p w:rsidR="006C7AA4" w:rsidRPr="00764B60" w:rsidRDefault="006C7AA4" w:rsidP="0063434E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 w:rsidRPr="00A37CFB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151 2</w:t>
            </w:r>
            <w:r w:rsidR="0063434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4</w:t>
            </w:r>
            <w:r w:rsidRPr="00A37CFB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4,7  </w:t>
            </w:r>
          </w:p>
        </w:tc>
        <w:tc>
          <w:tcPr>
            <w:tcW w:w="1985" w:type="dxa"/>
            <w:shd w:val="clear" w:color="auto" w:fill="FFFFFF"/>
          </w:tcPr>
          <w:p w:rsidR="006C7AA4" w:rsidRDefault="006C7AA4" w:rsidP="006C7AA4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 w:rsidRPr="00764B60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  </w:t>
            </w:r>
          </w:p>
          <w:p w:rsidR="006C7AA4" w:rsidRDefault="006C7AA4" w:rsidP="006C7AA4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136 4</w:t>
            </w:r>
            <w:r w:rsidR="0063434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6,2</w:t>
            </w:r>
          </w:p>
          <w:p w:rsidR="006C7AA4" w:rsidRDefault="006C7AA4" w:rsidP="0063434E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119 9</w:t>
            </w:r>
            <w:r w:rsidR="0063434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0,8</w:t>
            </w:r>
            <w:r w:rsidRPr="00764B60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  </w:t>
            </w:r>
          </w:p>
        </w:tc>
        <w:tc>
          <w:tcPr>
            <w:tcW w:w="1985" w:type="dxa"/>
            <w:shd w:val="clear" w:color="auto" w:fill="FFFFFF"/>
          </w:tcPr>
          <w:p w:rsidR="006C7AA4" w:rsidRDefault="006C7AA4" w:rsidP="006C7AA4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</w:p>
          <w:p w:rsidR="006C7AA4" w:rsidRDefault="006C7AA4" w:rsidP="006C7A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110 0</w:t>
            </w:r>
            <w:r w:rsidR="0063434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2,4</w:t>
            </w:r>
          </w:p>
          <w:p w:rsidR="006C7AA4" w:rsidRPr="00764B60" w:rsidRDefault="006C7AA4" w:rsidP="0063434E">
            <w:pPr>
              <w:spacing w:before="280" w:beforeAutospacing="1" w:after="280" w:afterAutospacing="1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108 </w:t>
            </w:r>
            <w:r w:rsidR="0063434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316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>,4</w:t>
            </w:r>
            <w:r w:rsidRPr="00764B60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C7AA4" w:rsidRPr="00823374" w:rsidTr="00AE68BA">
        <w:trPr>
          <w:trHeight w:val="274"/>
        </w:trPr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6C7AA4" w:rsidRPr="00823374" w:rsidRDefault="006C7AA4" w:rsidP="006C7A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:rsidR="006C7AA4" w:rsidRPr="00823374" w:rsidRDefault="006C7AA4" w:rsidP="006C7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Очікувані результати</w:t>
            </w:r>
          </w:p>
        </w:tc>
        <w:tc>
          <w:tcPr>
            <w:tcW w:w="5954" w:type="dxa"/>
            <w:gridSpan w:val="3"/>
            <w:shd w:val="clear" w:color="auto" w:fill="FFFFFF"/>
            <w:tcMar>
              <w:left w:w="103" w:type="dxa"/>
            </w:tcMar>
          </w:tcPr>
          <w:p w:rsidR="006C7AA4" w:rsidRPr="00933729" w:rsidRDefault="006C7AA4" w:rsidP="006C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абезпечення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стабільного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100%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некомерційних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закладів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здоров’я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громади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C7AA4" w:rsidRPr="00933729" w:rsidRDefault="006C7AA4" w:rsidP="006C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задоволеності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медичними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послугами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90%</w:t>
            </w:r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C7AA4" w:rsidRPr="00823374" w:rsidRDefault="006C7AA4" w:rsidP="006C7A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абезпечення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безбар'єрності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цифровізації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рівні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</w:t>
            </w:r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кінця</w:t>
            </w:r>
            <w:proofErr w:type="spellEnd"/>
            <w:r w:rsidRPr="00933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2029 року.</w:t>
            </w:r>
          </w:p>
        </w:tc>
      </w:tr>
      <w:tr w:rsidR="006C7AA4" w:rsidRPr="00823374" w:rsidTr="00AE68BA">
        <w:tc>
          <w:tcPr>
            <w:tcW w:w="675" w:type="dxa"/>
            <w:shd w:val="clear" w:color="auto" w:fill="FFFFFF"/>
            <w:tcMar>
              <w:left w:w="103" w:type="dxa"/>
            </w:tcMar>
          </w:tcPr>
          <w:p w:rsidR="006C7AA4" w:rsidRPr="00823374" w:rsidRDefault="006C7AA4" w:rsidP="006C7A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82337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:rsidR="006C7AA4" w:rsidRPr="00823374" w:rsidRDefault="006C7AA4" w:rsidP="006C7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82337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>Ключові</w:t>
            </w:r>
            <w:proofErr w:type="spellEnd"/>
            <w:r w:rsidRPr="0082337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2337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>показники</w:t>
            </w:r>
            <w:proofErr w:type="spellEnd"/>
            <w:r w:rsidRPr="0082337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2337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shd w:val="clear" w:color="auto" w:fill="FFFFFF"/>
                <w:lang w:eastAsia="uk-UA" w:bidi="uk-UA"/>
              </w:rPr>
              <w:t>ефективності</w:t>
            </w:r>
            <w:proofErr w:type="spellEnd"/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3" w:type="dxa"/>
            </w:tcMar>
          </w:tcPr>
          <w:p w:rsidR="006C7AA4" w:rsidRPr="00823374" w:rsidRDefault="00660CB7" w:rsidP="0008133F">
            <w:pPr>
              <w:tabs>
                <w:tab w:val="left" w:pos="600"/>
                <w:tab w:val="left" w:pos="1830"/>
                <w:tab w:val="left" w:pos="31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Збільшення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пацієнтопотоку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; підвищення рівня довіри пацієнтів; підвищення якості надання медичних послуг; покращення матеріально-технічної бази закладів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lastRenderedPageBreak/>
              <w:t>охорони здоров</w:t>
            </w:r>
            <w:r>
              <w:rPr>
                <w:rFonts w:ascii="Calibri" w:eastAsia="Times New Roman" w:hAnsi="Calibri" w:cs="Calibri"/>
                <w:color w:val="00000A"/>
                <w:sz w:val="24"/>
                <w:szCs w:val="24"/>
                <w:lang w:val="uk-UA"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я, включаючи будівлі та обладнання; рання діагностика захворювань; зниження рівня смертності завдяки ранньому діагностуванню хвороб</w:t>
            </w:r>
            <w:r w:rsidR="00D45BC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; надання реабілітаційних послуг, включаючи </w:t>
            </w:r>
            <w:r w:rsidR="0008133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ф</w:t>
            </w:r>
            <w:r w:rsidR="0008133F" w:rsidRPr="0008133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ізичн</w:t>
            </w:r>
            <w:r w:rsidR="0008133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у</w:t>
            </w:r>
            <w:r w:rsidR="0008133F" w:rsidRPr="0008133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та психологічн</w:t>
            </w:r>
            <w:r w:rsidR="0008133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у</w:t>
            </w:r>
            <w:r w:rsidR="0008133F" w:rsidRPr="0008133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підтримк</w:t>
            </w:r>
            <w:r w:rsidR="0008133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у та інше.</w:t>
            </w:r>
          </w:p>
        </w:tc>
      </w:tr>
    </w:tbl>
    <w:p w:rsidR="00823374" w:rsidRPr="00823374" w:rsidRDefault="00823374" w:rsidP="008233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ru-RU"/>
        </w:rPr>
        <w:lastRenderedPageBreak/>
        <w:t xml:space="preserve">ІІ. </w:t>
      </w:r>
      <w:r w:rsidRPr="00823374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val="uk-UA" w:eastAsia="ru-RU"/>
        </w:rPr>
        <w:t>Визначення проблеми, на розв’язання якої спрямована Програма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Здоров’я населення є одним з найважливіших чинників розвитку економіки та добробуту населення  громади. У Звягельській міській територіальній громаді, як і в цілому в країні стан здоров’я населення характеризується низьким рівнем народжуваності, високою смертністю, від’ємним природним приростом і демографічним старінням населення. Через несприятливі демографічні зміни відбувається подальше погіршення стану здоров’я населення з істотним підвищенням у всіх вікових групах рівнів захворюваності й поширеності хвороб, зокрема хронічних неінфекційних захворювань, враховуючи хвороби системи кровообігу, злоякісні новоутворення, цукровий діабет, хронічні захворювання нирок та інші. На хронічну патологію страждають майже 60% дорослого та 20% дитячого населення. 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Зростання захворюваності населення відбувається внаслідок поширення чинників ризику, зокрема тютюнопаління, зловживання алкоголем</w:t>
      </w:r>
      <w:r w:rsidR="006F2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вживання наркотиків, передусім серед осіб молодого віку. 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Викликає занепокоєння тенденція до погіршення стану здоров’я молоді, збільшення випадків соціально небезпечних хвороб, у тому числі туберкульозу та ВІЛ/СНІДу.       Залишається також високою захворюваність на інфекційні хвороби. Існує загроза поширення крапельних, особливо небезпечних, зоонозних інфекцій та паразитарних хвороб. 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Внаслідок військових дій у країні значно погіршується ментальне та психічне здоров’я населення громади, що проявляється у зростанні рівня стресу, тривожності, депресії та інших психічних розладів.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Особливої уваги потребує лікування та комплексна реабілітація військовослужбовців та осіб з інвалідністю, що виникла внаслідок війни, включно з фізичною та психологічною підтримкою.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Матеріально-технічна база закладів охорони здоров'я потребує покращення  будівель,  інженерно-технічного та медичного обладнання, санітарного автотранспорту, які використовуються для організації надання медичної допомоги.</w:t>
      </w:r>
    </w:p>
    <w:p w:rsidR="00823374" w:rsidRPr="00823374" w:rsidRDefault="00823374" w:rsidP="008233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val="uk-UA" w:eastAsia="ru-RU"/>
        </w:rPr>
        <w:t>ІІІ. Визначення мети Програми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      </w:t>
      </w: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Мета  Програми полягає у створенні ефективної, доступної та якісної системи медичного обслуговування населення громади. Зокрема, </w:t>
      </w:r>
      <w:r w:rsidR="00F35C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рограма спрямована на забезпечення стабільного функціонування та сталого розвитку комунальних некомерційних закладів охорони здоров’я шляхом їх належного фінансування, модернізації матеріально-технічної бази, впровадження сучасних медичних технологій і підвищення рівня професійної підготовки медичних працівників.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Крім того, важливою метою є підвищення доступності медичних послуг для всіх мешканців громади, покращення якості та безперервності медичної допомоги, а також створення умов для ефективного управління закладами охорони здоров’я відповідно до сучасних стандартів і потреб населення.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У ширшому контексті Програма має сприяти зміцненню здоров’я населення, зниженню рівня захворюваності та смертності, підвищенню тривалості та якості життя мешканців громади.</w:t>
      </w:r>
    </w:p>
    <w:p w:rsidR="00823374" w:rsidRP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Прийняття Програми сприятиме поліпшенню стану здоров’я населення шляхом забезпечення доступу до кваліфікованої медичної допомоги, орієнтованої на інтегрований підхід до вирішення медико-санітарних потреб окремих громадян, родин та громади в цілому.</w:t>
      </w:r>
    </w:p>
    <w:p w:rsidR="00823374" w:rsidRPr="00823374" w:rsidRDefault="00823374" w:rsidP="00823374">
      <w:pPr>
        <w:pStyle w:val="a7"/>
        <w:jc w:val="center"/>
        <w:rPr>
          <w:rFonts w:ascii="Times New Roman" w:hAnsi="Times New Roman"/>
          <w:b/>
          <w:caps/>
          <w:sz w:val="24"/>
          <w:szCs w:val="24"/>
        </w:rPr>
      </w:pPr>
      <w:r w:rsidRPr="00823374">
        <w:rPr>
          <w:rFonts w:ascii="Times New Roman" w:hAnsi="Times New Roman"/>
          <w:b/>
          <w:caps/>
          <w:sz w:val="24"/>
          <w:szCs w:val="24"/>
        </w:rPr>
        <w:lastRenderedPageBreak/>
        <w:t>ІV. обҐрунтування завдань і засобів розв'язання проблеми, завдань і заходів, показників результативності</w:t>
      </w:r>
    </w:p>
    <w:p w:rsidR="00823374" w:rsidRPr="00155993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55993">
        <w:rPr>
          <w:rFonts w:ascii="Times New Roman" w:hAnsi="Times New Roman"/>
          <w:sz w:val="24"/>
          <w:szCs w:val="24"/>
        </w:rPr>
        <w:t xml:space="preserve">      </w:t>
      </w:r>
      <w:r w:rsidR="00F35CE0" w:rsidRPr="00155993">
        <w:rPr>
          <w:rFonts w:ascii="Times New Roman" w:hAnsi="Times New Roman"/>
          <w:sz w:val="24"/>
          <w:szCs w:val="24"/>
          <w:lang w:val="uk-UA"/>
        </w:rPr>
        <w:t xml:space="preserve">Одним із найважливіших завдань органів місцевого самоврядування є створення належних умов ефективного та доступного для всіх громадян медичного </w:t>
      </w:r>
      <w:proofErr w:type="spellStart"/>
      <w:r w:rsidR="00F35CE0" w:rsidRPr="00155993">
        <w:rPr>
          <w:rFonts w:ascii="Times New Roman" w:hAnsi="Times New Roman"/>
          <w:sz w:val="24"/>
          <w:szCs w:val="24"/>
          <w:lang w:val="uk-UA"/>
        </w:rPr>
        <w:t>обслуговуванняю</w:t>
      </w:r>
      <w:proofErr w:type="spellEnd"/>
      <w:r w:rsidR="00F35CE0" w:rsidRPr="0015599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55993">
        <w:rPr>
          <w:rFonts w:ascii="Times New Roman" w:hAnsi="Times New Roman"/>
          <w:sz w:val="24"/>
          <w:szCs w:val="24"/>
        </w:rPr>
        <w:t xml:space="preserve">Стан </w:t>
      </w:r>
      <w:proofErr w:type="spellStart"/>
      <w:r w:rsidRPr="00155993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комунальних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некомерційних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охорони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Звягельської </w:t>
      </w:r>
      <w:proofErr w:type="spellStart"/>
      <w:r w:rsidRPr="00155993">
        <w:rPr>
          <w:rFonts w:ascii="Times New Roman" w:hAnsi="Times New Roman"/>
          <w:sz w:val="24"/>
          <w:szCs w:val="24"/>
        </w:rPr>
        <w:t>міської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громади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свідчить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55993">
        <w:rPr>
          <w:rFonts w:ascii="Times New Roman" w:hAnsi="Times New Roman"/>
          <w:sz w:val="24"/>
          <w:szCs w:val="24"/>
        </w:rPr>
        <w:t>наявність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низки </w:t>
      </w:r>
      <w:proofErr w:type="spellStart"/>
      <w:r w:rsidRPr="00155993">
        <w:rPr>
          <w:rFonts w:ascii="Times New Roman" w:hAnsi="Times New Roman"/>
          <w:sz w:val="24"/>
          <w:szCs w:val="24"/>
        </w:rPr>
        <w:t>системних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проблем, </w:t>
      </w:r>
      <w:proofErr w:type="spellStart"/>
      <w:r w:rsidRPr="00155993">
        <w:rPr>
          <w:rFonts w:ascii="Times New Roman" w:hAnsi="Times New Roman"/>
          <w:sz w:val="24"/>
          <w:szCs w:val="24"/>
        </w:rPr>
        <w:t>серед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яких</w:t>
      </w:r>
      <w:proofErr w:type="spellEnd"/>
      <w:r w:rsidRPr="00155993">
        <w:rPr>
          <w:rFonts w:ascii="Times New Roman" w:hAnsi="Times New Roman"/>
          <w:sz w:val="24"/>
          <w:szCs w:val="24"/>
        </w:rPr>
        <w:t>:</w:t>
      </w:r>
    </w:p>
    <w:p w:rsidR="00823374" w:rsidRPr="00155993" w:rsidRDefault="00823374" w:rsidP="00DF7D98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недостатній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рівень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155993">
        <w:rPr>
          <w:rFonts w:ascii="Times New Roman" w:hAnsi="Times New Roman"/>
          <w:sz w:val="24"/>
          <w:szCs w:val="24"/>
        </w:rPr>
        <w:t>;</w:t>
      </w:r>
    </w:p>
    <w:p w:rsidR="00823374" w:rsidRPr="00155993" w:rsidRDefault="00823374" w:rsidP="00DF7D98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зношеність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матеріально-технічної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бази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5993">
        <w:rPr>
          <w:rFonts w:ascii="Times New Roman" w:hAnsi="Times New Roman"/>
          <w:sz w:val="24"/>
          <w:szCs w:val="24"/>
        </w:rPr>
        <w:t xml:space="preserve">потреба в </w:t>
      </w:r>
      <w:proofErr w:type="spellStart"/>
      <w:r w:rsidRPr="00155993">
        <w:rPr>
          <w:rFonts w:ascii="Times New Roman" w:hAnsi="Times New Roman"/>
          <w:sz w:val="24"/>
          <w:szCs w:val="24"/>
        </w:rPr>
        <w:t>оновленні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медичного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кадровий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дефіцит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необхідність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якості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доступності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послуг</w:t>
      </w:r>
      <w:proofErr w:type="spellEnd"/>
      <w:r w:rsidRPr="00155993">
        <w:rPr>
          <w:rFonts w:ascii="Times New Roman" w:hAnsi="Times New Roman"/>
          <w:sz w:val="24"/>
          <w:szCs w:val="24"/>
        </w:rPr>
        <w:t>.</w:t>
      </w:r>
    </w:p>
    <w:p w:rsidR="00823374" w:rsidRPr="00155993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55993">
        <w:rPr>
          <w:rFonts w:ascii="Times New Roman" w:hAnsi="Times New Roman"/>
          <w:sz w:val="24"/>
          <w:szCs w:val="24"/>
        </w:rPr>
        <w:t xml:space="preserve">     </w:t>
      </w:r>
      <w:r w:rsidR="00155993">
        <w:rPr>
          <w:rFonts w:ascii="Times New Roman" w:hAnsi="Times New Roman"/>
          <w:sz w:val="24"/>
          <w:szCs w:val="24"/>
          <w:lang w:val="uk-UA"/>
        </w:rPr>
        <w:t>Зважаючи на існуючі виклики та потреби галузі  в</w:t>
      </w:r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умовах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реформування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системи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охорони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здоров’я</w:t>
      </w:r>
      <w:proofErr w:type="spellEnd"/>
      <w:r w:rsidR="00155993">
        <w:rPr>
          <w:rFonts w:ascii="Times New Roman" w:hAnsi="Times New Roman"/>
          <w:sz w:val="24"/>
          <w:szCs w:val="24"/>
          <w:lang w:val="uk-UA"/>
        </w:rPr>
        <w:t>,</w:t>
      </w:r>
      <w:r w:rsidRPr="00155993">
        <w:rPr>
          <w:rFonts w:ascii="Times New Roman" w:hAnsi="Times New Roman"/>
          <w:sz w:val="24"/>
          <w:szCs w:val="24"/>
        </w:rPr>
        <w:t xml:space="preserve"> та переходу на </w:t>
      </w:r>
      <w:proofErr w:type="spellStart"/>
      <w:r w:rsidRPr="00155993">
        <w:rPr>
          <w:rFonts w:ascii="Times New Roman" w:hAnsi="Times New Roman"/>
          <w:sz w:val="24"/>
          <w:szCs w:val="24"/>
        </w:rPr>
        <w:t>нові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механізми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5993">
        <w:rPr>
          <w:rFonts w:ascii="Times New Roman" w:hAnsi="Times New Roman"/>
          <w:sz w:val="24"/>
          <w:szCs w:val="24"/>
        </w:rPr>
        <w:t>зокрема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Pr="00155993">
        <w:rPr>
          <w:rFonts w:ascii="Times New Roman" w:hAnsi="Times New Roman"/>
          <w:sz w:val="24"/>
          <w:szCs w:val="24"/>
        </w:rPr>
        <w:t>Національну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службу </w:t>
      </w:r>
      <w:proofErr w:type="spellStart"/>
      <w:r w:rsidRPr="00155993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5993">
        <w:rPr>
          <w:rFonts w:ascii="Times New Roman" w:hAnsi="Times New Roman"/>
          <w:sz w:val="24"/>
          <w:szCs w:val="24"/>
        </w:rPr>
        <w:t>виникає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потреба у </w:t>
      </w:r>
      <w:proofErr w:type="spellStart"/>
      <w:r w:rsidRPr="00155993">
        <w:rPr>
          <w:rFonts w:ascii="Times New Roman" w:hAnsi="Times New Roman"/>
          <w:sz w:val="24"/>
          <w:szCs w:val="24"/>
        </w:rPr>
        <w:t>додатковій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підтримці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r w:rsidR="00F35CE0" w:rsidRPr="00155993">
        <w:rPr>
          <w:rFonts w:ascii="Times New Roman" w:hAnsi="Times New Roman"/>
          <w:sz w:val="24"/>
          <w:szCs w:val="24"/>
          <w:lang w:val="uk-UA"/>
        </w:rPr>
        <w:t>охорони здоров'я</w:t>
      </w:r>
      <w:r w:rsidRPr="00155993">
        <w:rPr>
          <w:rFonts w:ascii="Times New Roman" w:hAnsi="Times New Roman"/>
          <w:sz w:val="24"/>
          <w:szCs w:val="24"/>
        </w:rPr>
        <w:t xml:space="preserve">з боку </w:t>
      </w:r>
      <w:proofErr w:type="spellStart"/>
      <w:r w:rsidRPr="00155993">
        <w:rPr>
          <w:rFonts w:ascii="Times New Roman" w:hAnsi="Times New Roman"/>
          <w:sz w:val="24"/>
          <w:szCs w:val="24"/>
        </w:rPr>
        <w:t>органів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155993">
        <w:rPr>
          <w:rFonts w:ascii="Times New Roman" w:hAnsi="Times New Roman"/>
          <w:sz w:val="24"/>
          <w:szCs w:val="24"/>
        </w:rPr>
        <w:t>.</w:t>
      </w:r>
    </w:p>
    <w:p w:rsidR="00823374" w:rsidRPr="00155993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55993">
        <w:rPr>
          <w:rFonts w:ascii="Times New Roman" w:hAnsi="Times New Roman"/>
          <w:sz w:val="24"/>
          <w:szCs w:val="24"/>
        </w:rPr>
        <w:t xml:space="preserve">      Для </w:t>
      </w:r>
      <w:proofErr w:type="spellStart"/>
      <w:r w:rsidRPr="00155993">
        <w:rPr>
          <w:rFonts w:ascii="Times New Roman" w:hAnsi="Times New Roman"/>
          <w:sz w:val="24"/>
          <w:szCs w:val="24"/>
        </w:rPr>
        <w:t>розв’язання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зазначених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проблем </w:t>
      </w:r>
      <w:proofErr w:type="spellStart"/>
      <w:r w:rsidRPr="00155993">
        <w:rPr>
          <w:rFonts w:ascii="Times New Roman" w:hAnsi="Times New Roman"/>
          <w:sz w:val="24"/>
          <w:szCs w:val="24"/>
        </w:rPr>
        <w:t>визначено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такі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ключові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155993">
        <w:rPr>
          <w:rFonts w:ascii="Times New Roman" w:hAnsi="Times New Roman"/>
          <w:sz w:val="24"/>
          <w:szCs w:val="24"/>
        </w:rPr>
        <w:t>:</w:t>
      </w:r>
    </w:p>
    <w:p w:rsidR="00823374" w:rsidRPr="00155993" w:rsidRDefault="00823374" w:rsidP="00155993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стабільного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охорони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оновлення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модернізація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матеріально-технічної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бази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сучасним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медичним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обладнанням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належних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155993">
        <w:rPr>
          <w:rFonts w:ascii="Times New Roman" w:hAnsi="Times New Roman"/>
          <w:sz w:val="24"/>
          <w:szCs w:val="24"/>
        </w:rPr>
        <w:t>праці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залучення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утримання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кваліфікованих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кадрів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якості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доступності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послуг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первинної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спеціалізованої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медичної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допомоги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цифровізація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процесів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електронних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сервісів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енергоефективності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. </w:t>
      </w:r>
    </w:p>
    <w:p w:rsidR="00823374" w:rsidRPr="00405332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155993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Реалізація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програми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передбачає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наступні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засоби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розв’язання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>:</w:t>
      </w:r>
    </w:p>
    <w:p w:rsidR="00823374" w:rsidRPr="00155993" w:rsidRDefault="00823374" w:rsidP="00DF7D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фінансова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підтримка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охорони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здоров'я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із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бюджету </w:t>
      </w:r>
      <w:proofErr w:type="spellStart"/>
      <w:r w:rsidRPr="00155993">
        <w:rPr>
          <w:rFonts w:ascii="Times New Roman" w:hAnsi="Times New Roman"/>
          <w:sz w:val="24"/>
          <w:szCs w:val="24"/>
        </w:rPr>
        <w:t>громади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55993">
        <w:rPr>
          <w:rFonts w:ascii="Times New Roman" w:hAnsi="Times New Roman"/>
          <w:sz w:val="24"/>
          <w:szCs w:val="24"/>
        </w:rPr>
        <w:t xml:space="preserve">співфінансування </w:t>
      </w:r>
      <w:proofErr w:type="spellStart"/>
      <w:r w:rsidRPr="00155993">
        <w:rPr>
          <w:rFonts w:ascii="Times New Roman" w:hAnsi="Times New Roman"/>
          <w:sz w:val="24"/>
          <w:szCs w:val="24"/>
        </w:rPr>
        <w:t>державних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регіональних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програм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залучення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додаткових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джерел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55993">
        <w:rPr>
          <w:rFonts w:ascii="Times New Roman" w:hAnsi="Times New Roman"/>
          <w:sz w:val="24"/>
          <w:szCs w:val="24"/>
        </w:rPr>
        <w:t>гранти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5993">
        <w:rPr>
          <w:rFonts w:ascii="Times New Roman" w:hAnsi="Times New Roman"/>
          <w:sz w:val="24"/>
          <w:szCs w:val="24"/>
        </w:rPr>
        <w:t>міжнародна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155993">
        <w:rPr>
          <w:rFonts w:ascii="Times New Roman" w:hAnsi="Times New Roman"/>
          <w:sz w:val="24"/>
          <w:szCs w:val="24"/>
        </w:rPr>
        <w:t>);</w:t>
      </w:r>
    </w:p>
    <w:p w:rsidR="00823374" w:rsidRPr="00155993" w:rsidRDefault="00823374" w:rsidP="00DF7D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капітальних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поточних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ремонтів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медичного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r w:rsidR="00405332">
        <w:rPr>
          <w:rFonts w:ascii="Times New Roman" w:hAnsi="Times New Roman"/>
          <w:sz w:val="24"/>
          <w:szCs w:val="24"/>
          <w:lang w:val="uk-UA"/>
        </w:rPr>
        <w:t xml:space="preserve">та іншого </w:t>
      </w:r>
      <w:proofErr w:type="spellStart"/>
      <w:r w:rsidRPr="00155993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інформаційних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систем у </w:t>
      </w:r>
      <w:proofErr w:type="spellStart"/>
      <w:r w:rsidRPr="00155993">
        <w:rPr>
          <w:rFonts w:ascii="Times New Roman" w:hAnsi="Times New Roman"/>
          <w:sz w:val="24"/>
          <w:szCs w:val="24"/>
        </w:rPr>
        <w:t>сфері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охорони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заходів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55993">
        <w:rPr>
          <w:rFonts w:ascii="Times New Roman" w:hAnsi="Times New Roman"/>
          <w:sz w:val="24"/>
          <w:szCs w:val="24"/>
        </w:rPr>
        <w:t>енергозбереження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405332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155993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Основні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заходи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програми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>:</w:t>
      </w:r>
    </w:p>
    <w:p w:rsidR="008B14A6" w:rsidRPr="008B14A6" w:rsidRDefault="00405332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05332">
        <w:rPr>
          <w:rFonts w:ascii="Times New Roman" w:hAnsi="Times New Roman"/>
          <w:sz w:val="24"/>
          <w:szCs w:val="24"/>
          <w:lang w:val="uk-UA"/>
        </w:rPr>
        <w:t>розбудова мережі стаціонарних реабілітаційних відділень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405332" w:rsidRPr="00405332" w:rsidRDefault="008B14A6" w:rsidP="008B14A6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B14A6">
        <w:rPr>
          <w:rFonts w:ascii="Times New Roman" w:hAnsi="Times New Roman"/>
          <w:sz w:val="24"/>
          <w:szCs w:val="24"/>
          <w:lang w:val="uk-UA"/>
        </w:rPr>
        <w:t>розбудова мережі сучасних безпечних закладів первинної медичної допомоги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придбання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сучасного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діагностичного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лікувального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реконструкції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ремонту </w:t>
      </w:r>
      <w:proofErr w:type="spellStart"/>
      <w:r w:rsidRPr="00155993">
        <w:rPr>
          <w:rFonts w:ascii="Times New Roman" w:hAnsi="Times New Roman"/>
          <w:sz w:val="24"/>
          <w:szCs w:val="24"/>
        </w:rPr>
        <w:t>будівель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405332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332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4053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4053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</w:rPr>
        <w:t>необхідними</w:t>
      </w:r>
      <w:proofErr w:type="spellEnd"/>
      <w:r w:rsidRPr="00405332">
        <w:rPr>
          <w:rFonts w:ascii="Times New Roman" w:hAnsi="Times New Roman"/>
          <w:sz w:val="24"/>
          <w:szCs w:val="24"/>
        </w:rPr>
        <w:t xml:space="preserve"> медикаментами та </w:t>
      </w:r>
      <w:proofErr w:type="spellStart"/>
      <w:r w:rsidRPr="00405332">
        <w:rPr>
          <w:rFonts w:ascii="Times New Roman" w:hAnsi="Times New Roman"/>
          <w:sz w:val="24"/>
          <w:szCs w:val="24"/>
        </w:rPr>
        <w:t>витратними</w:t>
      </w:r>
      <w:proofErr w:type="spellEnd"/>
      <w:r w:rsidRPr="004053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</w:rPr>
        <w:t>матеріалами</w:t>
      </w:r>
      <w:proofErr w:type="spellEnd"/>
      <w:r w:rsidRPr="00405332">
        <w:rPr>
          <w:rFonts w:ascii="Times New Roman" w:hAnsi="Times New Roman"/>
          <w:sz w:val="24"/>
          <w:szCs w:val="24"/>
        </w:rPr>
        <w:t>;</w:t>
      </w:r>
    </w:p>
    <w:p w:rsidR="00823374" w:rsidRPr="00405332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332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4053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</w:rPr>
        <w:t>телемедицини</w:t>
      </w:r>
      <w:proofErr w:type="spellEnd"/>
      <w:r w:rsidRPr="00405332">
        <w:rPr>
          <w:rFonts w:ascii="Times New Roman" w:hAnsi="Times New Roman"/>
          <w:sz w:val="24"/>
          <w:szCs w:val="24"/>
        </w:rPr>
        <w:t xml:space="preserve">; </w:t>
      </w:r>
    </w:p>
    <w:p w:rsidR="008B14A6" w:rsidRDefault="00823374" w:rsidP="00405332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заходів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55993">
        <w:rPr>
          <w:rFonts w:ascii="Times New Roman" w:hAnsi="Times New Roman"/>
          <w:sz w:val="24"/>
          <w:szCs w:val="24"/>
        </w:rPr>
        <w:t>енергоефективності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55993">
        <w:rPr>
          <w:rFonts w:ascii="Times New Roman" w:hAnsi="Times New Roman"/>
          <w:sz w:val="24"/>
          <w:szCs w:val="24"/>
        </w:rPr>
        <w:t>утеплення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5993">
        <w:rPr>
          <w:rFonts w:ascii="Times New Roman" w:hAnsi="Times New Roman"/>
          <w:sz w:val="24"/>
          <w:szCs w:val="24"/>
        </w:rPr>
        <w:t>модернізація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систем </w:t>
      </w:r>
      <w:proofErr w:type="spellStart"/>
      <w:r w:rsidRPr="00155993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тощо</w:t>
      </w:r>
      <w:proofErr w:type="spellEnd"/>
      <w:r w:rsidRPr="00155993">
        <w:rPr>
          <w:rFonts w:ascii="Times New Roman" w:hAnsi="Times New Roman"/>
          <w:sz w:val="24"/>
          <w:szCs w:val="24"/>
        </w:rPr>
        <w:t>)</w:t>
      </w:r>
      <w:r w:rsidR="008B14A6">
        <w:rPr>
          <w:rFonts w:ascii="Times New Roman" w:hAnsi="Times New Roman"/>
          <w:sz w:val="24"/>
          <w:szCs w:val="24"/>
          <w:lang w:val="uk-UA"/>
        </w:rPr>
        <w:t>;</w:t>
      </w:r>
    </w:p>
    <w:p w:rsidR="00823374" w:rsidRPr="00155993" w:rsidRDefault="008B14A6" w:rsidP="008B14A6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Pr="008B14A6">
        <w:rPr>
          <w:rFonts w:ascii="Times New Roman" w:hAnsi="Times New Roman"/>
          <w:sz w:val="24"/>
          <w:szCs w:val="24"/>
        </w:rPr>
        <w:t>аходи</w:t>
      </w:r>
      <w:proofErr w:type="spellEnd"/>
      <w:r w:rsidRPr="008B14A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B14A6">
        <w:rPr>
          <w:rFonts w:ascii="Times New Roman" w:hAnsi="Times New Roman"/>
          <w:sz w:val="24"/>
          <w:szCs w:val="24"/>
        </w:rPr>
        <w:t>сфері</w:t>
      </w:r>
      <w:proofErr w:type="spellEnd"/>
      <w:r w:rsidRPr="008B1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4A6">
        <w:rPr>
          <w:rFonts w:ascii="Times New Roman" w:hAnsi="Times New Roman"/>
          <w:sz w:val="24"/>
          <w:szCs w:val="24"/>
        </w:rPr>
        <w:t>цивільного</w:t>
      </w:r>
      <w:proofErr w:type="spellEnd"/>
      <w:r w:rsidRPr="008B1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4A6">
        <w:rPr>
          <w:rFonts w:ascii="Times New Roman" w:hAnsi="Times New Roman"/>
          <w:sz w:val="24"/>
          <w:szCs w:val="24"/>
        </w:rPr>
        <w:t>захисту</w:t>
      </w:r>
      <w:proofErr w:type="spellEnd"/>
      <w:r w:rsidRPr="008B14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14A6">
        <w:rPr>
          <w:rFonts w:ascii="Times New Roman" w:hAnsi="Times New Roman"/>
          <w:sz w:val="24"/>
          <w:szCs w:val="24"/>
        </w:rPr>
        <w:t>техногенної</w:t>
      </w:r>
      <w:proofErr w:type="spellEnd"/>
      <w:r w:rsidRPr="008B14A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14A6">
        <w:rPr>
          <w:rFonts w:ascii="Times New Roman" w:hAnsi="Times New Roman"/>
          <w:sz w:val="24"/>
          <w:szCs w:val="24"/>
        </w:rPr>
        <w:t>пожежної</w:t>
      </w:r>
      <w:proofErr w:type="spellEnd"/>
      <w:r w:rsidRPr="008B1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4A6">
        <w:rPr>
          <w:rFonts w:ascii="Times New Roman" w:hAnsi="Times New Roman"/>
          <w:sz w:val="24"/>
          <w:szCs w:val="24"/>
        </w:rPr>
        <w:t>безпеки</w:t>
      </w:r>
      <w:proofErr w:type="spellEnd"/>
      <w:r w:rsidR="00823374" w:rsidRPr="008B14A6">
        <w:rPr>
          <w:rFonts w:ascii="Times New Roman" w:hAnsi="Times New Roman"/>
          <w:sz w:val="24"/>
          <w:szCs w:val="24"/>
        </w:rPr>
        <w:t>.</w:t>
      </w:r>
      <w:r w:rsidR="00823374" w:rsidRPr="00155993">
        <w:rPr>
          <w:rFonts w:ascii="Times New Roman" w:hAnsi="Times New Roman"/>
          <w:sz w:val="24"/>
          <w:szCs w:val="24"/>
        </w:rPr>
        <w:t xml:space="preserve"> </w:t>
      </w:r>
    </w:p>
    <w:p w:rsidR="00823374" w:rsidRPr="00405332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405332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Ефективність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виконання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програми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оцінюватиметься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за такими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показниками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>:</w:t>
      </w:r>
    </w:p>
    <w:p w:rsidR="00823374" w:rsidRPr="00405332" w:rsidRDefault="00823374" w:rsidP="00DF7D9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підвищення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рівня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забезпеченості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медичним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05332">
        <w:rPr>
          <w:rFonts w:ascii="Times New Roman" w:hAnsi="Times New Roman"/>
          <w:sz w:val="24"/>
          <w:szCs w:val="24"/>
          <w:u w:val="single"/>
        </w:rPr>
        <w:t>обладнанням</w:t>
      </w:r>
      <w:proofErr w:type="spellEnd"/>
      <w:r w:rsidRPr="00405332">
        <w:rPr>
          <w:rFonts w:ascii="Times New Roman" w:hAnsi="Times New Roman"/>
          <w:sz w:val="24"/>
          <w:szCs w:val="24"/>
          <w:u w:val="single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кількості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укладених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декларацій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55993">
        <w:rPr>
          <w:rFonts w:ascii="Times New Roman" w:hAnsi="Times New Roman"/>
          <w:sz w:val="24"/>
          <w:szCs w:val="24"/>
        </w:rPr>
        <w:t>лікарями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рівня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задоволеності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медичними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послугами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зниження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рівня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захворюваності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55993">
        <w:rPr>
          <w:rFonts w:ascii="Times New Roman" w:hAnsi="Times New Roman"/>
          <w:sz w:val="24"/>
          <w:szCs w:val="24"/>
        </w:rPr>
        <w:t>госпіталізацій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скорочення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дефіциту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кадрів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обсягу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наданих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послуг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823374" w:rsidRPr="00155993" w:rsidRDefault="00823374" w:rsidP="00DF7D98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55993">
        <w:rPr>
          <w:rFonts w:ascii="Times New Roman" w:hAnsi="Times New Roman"/>
          <w:sz w:val="24"/>
          <w:szCs w:val="24"/>
        </w:rPr>
        <w:lastRenderedPageBreak/>
        <w:t>підвищення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енергоефективності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5993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155993">
        <w:rPr>
          <w:rFonts w:ascii="Times New Roman" w:hAnsi="Times New Roman"/>
          <w:sz w:val="24"/>
          <w:szCs w:val="24"/>
        </w:rPr>
        <w:t xml:space="preserve">; </w:t>
      </w:r>
    </w:p>
    <w:p w:rsidR="0008133F" w:rsidRDefault="00AE68BA" w:rsidP="00AE68BA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AE6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ПОКАЗНИКИ РЕЗУЛЬТАТИВНОСТІ ПРОГРАМИ: </w:t>
      </w:r>
    </w:p>
    <w:p w:rsidR="00AE68BA" w:rsidRPr="00AE68BA" w:rsidRDefault="00AE68BA" w:rsidP="00AE68BA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ru-RU"/>
        </w:rPr>
      </w:pPr>
      <w:r w:rsidRPr="00AE6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Забезпечення надання населенню амбулаторно-поліклінічної допомоги, стаціонарної медичної допомоги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134"/>
        <w:gridCol w:w="1134"/>
        <w:gridCol w:w="1134"/>
        <w:gridCol w:w="1134"/>
      </w:tblGrid>
      <w:tr w:rsidR="00AE68BA" w:rsidRPr="00AE68BA" w:rsidTr="0094492F">
        <w:trPr>
          <w:trHeight w:val="477"/>
        </w:trPr>
        <w:tc>
          <w:tcPr>
            <w:tcW w:w="562" w:type="dxa"/>
            <w:vMerge w:val="restart"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02" w:type="dxa"/>
            <w:vMerge w:val="restart"/>
          </w:tcPr>
          <w:p w:rsidR="00AE68BA" w:rsidRPr="0094492F" w:rsidRDefault="00AE68BA" w:rsidP="001544C1">
            <w:pPr>
              <w:spacing w:before="240"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uk-UA"/>
              </w:rPr>
              <w:t>Назва</w:t>
            </w:r>
            <w:r w:rsidR="0094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uk-UA"/>
              </w:rPr>
              <w:t xml:space="preserve"> </w:t>
            </w:r>
            <w:r w:rsidRPr="0094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bidi="uk-UA"/>
              </w:rPr>
              <w:t>показника</w:t>
            </w:r>
          </w:p>
        </w:tc>
        <w:tc>
          <w:tcPr>
            <w:tcW w:w="993" w:type="dxa"/>
            <w:vMerge w:val="restart"/>
          </w:tcPr>
          <w:p w:rsidR="00AE68BA" w:rsidRPr="0094492F" w:rsidRDefault="00AE68BA" w:rsidP="0094492F">
            <w:pPr>
              <w:tabs>
                <w:tab w:val="left" w:pos="709"/>
              </w:tabs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Одиниця</w:t>
            </w:r>
          </w:p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виміру</w:t>
            </w:r>
          </w:p>
        </w:tc>
        <w:tc>
          <w:tcPr>
            <w:tcW w:w="1134" w:type="dxa"/>
            <w:vMerge w:val="restart"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Вихідні дані на початок дії Програми</w:t>
            </w:r>
            <w:r w:rsid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(план на </w:t>
            </w: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2026 рік</w:t>
            </w:r>
            <w:r w:rsid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402" w:type="dxa"/>
            <w:gridSpan w:val="3"/>
          </w:tcPr>
          <w:p w:rsidR="00AE68BA" w:rsidRPr="0094492F" w:rsidRDefault="00AE68BA" w:rsidP="0094492F">
            <w:pPr>
              <w:spacing w:before="240" w:after="160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94492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Етап виконання Програми</w:t>
            </w:r>
          </w:p>
          <w:p w:rsidR="00AE68BA" w:rsidRPr="0094492F" w:rsidRDefault="00AE68BA" w:rsidP="0094492F">
            <w:pPr>
              <w:spacing w:before="240" w:after="160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</w:p>
        </w:tc>
      </w:tr>
      <w:tr w:rsidR="00AE68BA" w:rsidRPr="00AE68BA" w:rsidTr="0094492F">
        <w:trPr>
          <w:trHeight w:val="777"/>
        </w:trPr>
        <w:tc>
          <w:tcPr>
            <w:tcW w:w="562" w:type="dxa"/>
            <w:vMerge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134" w:type="dxa"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2028 рік</w:t>
            </w:r>
          </w:p>
        </w:tc>
        <w:tc>
          <w:tcPr>
            <w:tcW w:w="1134" w:type="dxa"/>
          </w:tcPr>
          <w:p w:rsidR="00AE68BA" w:rsidRPr="0094492F" w:rsidRDefault="00AE68BA" w:rsidP="0094492F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2029 рік</w:t>
            </w:r>
          </w:p>
        </w:tc>
      </w:tr>
      <w:tr w:rsidR="00AE68BA" w:rsidRPr="00AE68BA" w:rsidTr="001544C1">
        <w:trPr>
          <w:trHeight w:val="293"/>
        </w:trPr>
        <w:tc>
          <w:tcPr>
            <w:tcW w:w="562" w:type="dxa"/>
          </w:tcPr>
          <w:p w:rsidR="00AE68BA" w:rsidRPr="0094492F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94492F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3" w:type="dxa"/>
          </w:tcPr>
          <w:p w:rsidR="00AE68BA" w:rsidRPr="0094492F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AE68BA" w:rsidRPr="0094492F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:rsidR="00AE68BA" w:rsidRPr="0094492F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AE68BA" w:rsidRPr="0094492F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AE68BA" w:rsidRPr="0094492F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92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Витрат: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1544C1">
        <w:trPr>
          <w:trHeight w:val="1411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закладів, що надають</w:t>
            </w:r>
            <w:r w:rsidRPr="00AE68B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населенню амбулаторно-поліклінічну допомогу, стаціонарну медичну допомогу 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Штатна чисельність лікарів, що надають</w:t>
            </w:r>
            <w:r w:rsidRPr="00AE68B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населенню амбулаторно-поліклінічну допомогу, стаціонарну медичну допомогу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шт. 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196,5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196,5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196,5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196,5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видатків на надання фінансової підтримки комунальному некомерційному підприємству «Звягельська багатопрофільна лікарня» з бюджету міської територіальної громади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63 535,6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125 765,3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89 311,4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78 969,3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Обсяг видатків для оплати комунальних послуг та енергоносіїв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24 200,9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27 472,0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32 966,3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39 559,6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Обсяг видатків на придбання обладнання та предметів довгострокового користування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1 884,6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3 400,0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6 940,0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6 940,0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Продукту: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придбань обладнання та предметів довгострокового користування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29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пацієнтів на лікуванні в стаціонарному відділення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чол</w:t>
            </w:r>
            <w:proofErr w:type="spellEnd"/>
            <w:r w:rsidRPr="00AE68BA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20 277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22 000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22 000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22 000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лікарських відвідувань (поліклініка)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196 256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215 000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215 000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215 000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AE68BA" w:rsidRPr="00AE68BA" w:rsidRDefault="006D1A46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Кількість </w:t>
            </w:r>
            <w:r w:rsidR="00AE68BA" w:rsidRPr="00AE68BA">
              <w:rPr>
                <w:rFonts w:ascii="Times New Roman" w:eastAsia="Times New Roman" w:hAnsi="Times New Roman" w:cs="Times New Roman"/>
                <w:lang w:val="uk-UA"/>
              </w:rPr>
              <w:t>ліжко-місць у</w:t>
            </w:r>
            <w:r w:rsidR="00AE68BA"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E68BA" w:rsidRPr="00AE68BA">
              <w:rPr>
                <w:rFonts w:ascii="Times New Roman" w:eastAsia="Times New Roman" w:hAnsi="Times New Roman" w:cs="Times New Roman"/>
                <w:lang w:val="uk-UA"/>
              </w:rPr>
              <w:t>стаціонарному відділенні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430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430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430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430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Ефективності: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Середні видатки на придбання обладнання, предметів довгострокового користування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1 884,6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850,0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239,3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239,3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6D1A46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  <w:r w:rsidR="00AE68BA"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пролікованих у стаціонарному відділенні пацієнтів на одну штатну одиницю лікаря 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чол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112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112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112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Середня кількість лікарських відвідувань (поліклініка) на одну штатну одиницю лікаря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999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1094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1094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1094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Середня завантаженість ліжко-місць у стаціонарному відділенні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чол</w:t>
            </w:r>
            <w:proofErr w:type="spellEnd"/>
            <w:r w:rsidRPr="00AE68BA">
              <w:rPr>
                <w:rFonts w:ascii="Times New Roman" w:eastAsia="Times New Roman" w:hAnsi="Times New Roman" w:cs="Times New Roman"/>
                <w:lang w:val="uk-UA"/>
              </w:rPr>
              <w:t>/на 1 ліжко-місце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47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51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Якості: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Динаміка росту лікарських відвідувань до минулого року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65866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96,0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109,6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AE68BA" w:rsidRPr="00AE68BA" w:rsidTr="0094492F">
        <w:trPr>
          <w:trHeight w:val="2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Динаміка росту пролікованих у стаціонарі пацієнтів до минулого року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65866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99,9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109,5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</w:tbl>
    <w:p w:rsidR="00AE68BA" w:rsidRPr="00AE68BA" w:rsidRDefault="00AE68BA" w:rsidP="00AE68BA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ru-RU"/>
        </w:rPr>
      </w:pPr>
      <w:r w:rsidRPr="00AE6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Забезпечення населення міської територіальної громади якісною первинною  медичною допомогою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134"/>
        <w:gridCol w:w="1134"/>
        <w:gridCol w:w="1134"/>
        <w:gridCol w:w="1134"/>
      </w:tblGrid>
      <w:tr w:rsidR="00AE68BA" w:rsidRPr="00AE68BA" w:rsidTr="00AE68BA">
        <w:tc>
          <w:tcPr>
            <w:tcW w:w="562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з/п</w:t>
            </w:r>
          </w:p>
        </w:tc>
        <w:tc>
          <w:tcPr>
            <w:tcW w:w="3402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lang w:val="uk-UA" w:bidi="uk-UA"/>
              </w:rPr>
              <w:t>Назва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lang w:val="uk-UA" w:bidi="uk-UA"/>
              </w:rPr>
              <w:t>показника</w:t>
            </w:r>
          </w:p>
        </w:tc>
        <w:tc>
          <w:tcPr>
            <w:tcW w:w="993" w:type="dxa"/>
            <w:vMerge w:val="restart"/>
          </w:tcPr>
          <w:p w:rsidR="00AE68BA" w:rsidRPr="00AE68BA" w:rsidRDefault="00AE68BA" w:rsidP="00AE68BA">
            <w:pPr>
              <w:tabs>
                <w:tab w:val="left" w:pos="709"/>
              </w:tabs>
              <w:spacing w:before="120"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  <w:lang w:val="uk-UA" w:eastAsia="uk-UA" w:bidi="uk-UA"/>
              </w:rPr>
              <w:t>Одиниця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  <w:lang w:val="uk-UA" w:eastAsia="uk-UA" w:bidi="uk-UA"/>
              </w:rPr>
              <w:t>виміру</w:t>
            </w:r>
          </w:p>
        </w:tc>
        <w:tc>
          <w:tcPr>
            <w:tcW w:w="1134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Вихідні дані на початок дії Програми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2026 рік</w:t>
            </w:r>
          </w:p>
        </w:tc>
        <w:tc>
          <w:tcPr>
            <w:tcW w:w="3402" w:type="dxa"/>
            <w:gridSpan w:val="3"/>
          </w:tcPr>
          <w:p w:rsidR="00AE68BA" w:rsidRPr="00AE68BA" w:rsidRDefault="00AE68BA" w:rsidP="00AE68BA">
            <w:pPr>
              <w:spacing w:after="160" w:line="259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Етап виконання Програми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</w:p>
        </w:tc>
      </w:tr>
      <w:tr w:rsidR="00AE68BA" w:rsidRPr="00AE68BA" w:rsidTr="00AE68BA">
        <w:trPr>
          <w:trHeight w:val="551"/>
        </w:trPr>
        <w:tc>
          <w:tcPr>
            <w:tcW w:w="562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2027 рік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2028 рік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2029 рік</w:t>
            </w:r>
          </w:p>
        </w:tc>
      </w:tr>
      <w:tr w:rsidR="00AE68BA" w:rsidRPr="00AE68BA" w:rsidTr="00AE68BA">
        <w:trPr>
          <w:trHeight w:val="222"/>
        </w:trPr>
        <w:tc>
          <w:tcPr>
            <w:tcW w:w="562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993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134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134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134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</w:tr>
      <w:tr w:rsidR="00AE68BA" w:rsidRPr="00AE68BA" w:rsidTr="00AE68BA">
        <w:trPr>
          <w:trHeight w:val="199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Витрат: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закладів, що надають</w:t>
            </w:r>
            <w:r w:rsidRPr="00AE68B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населенню первинну  медичну допомогу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Штатна чисельність лікарів, що надають</w:t>
            </w:r>
            <w:r w:rsidRPr="00AE68B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населенню первинну  медичну допомогу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шт.од</w:t>
            </w:r>
            <w:proofErr w:type="spellEnd"/>
            <w:r w:rsidRPr="00AE68BA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54,25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54,25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54,25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54,25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видатків на надання фінансової підтримки комунальному некомерційному підприємству «Центр первинної медико-санітарної допомоги» з бюджету міської територіальної громади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5 420,0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8 530,0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13 999,0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9 997,0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Обсяг видатків для оплати комунальних послуг та енергоносіїв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3 299,2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3 900,0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4 500,0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5 000,0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придбання туберкуліну для забезпечення діагностики туберкульозу серед населення громади 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20,5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23,0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25,0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27,0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Продукту: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доз туберкуліну, необхідних для забезпечення діагностики туберкульозу серед населення громади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433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укладених декларацій з лікарями, що надають населенню первинну  медичну допомогу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чол</w:t>
            </w:r>
            <w:proofErr w:type="spellEnd"/>
            <w:r w:rsidRPr="00AE68BA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53 392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53 400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53 400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53 400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лікарських відвідувань 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99360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99500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99500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99500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Чисельність населення громади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чол</w:t>
            </w:r>
            <w:proofErr w:type="spellEnd"/>
            <w:r w:rsidRPr="00AE68BA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57909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57909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57909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57909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Ефективності: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Середня кількість декларантів на одну штатну посаду лікаря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984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984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984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984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Середня кількість лікарських відвідувань на одну штатну посаду лікаря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чол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1832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1834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1834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1834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Вартість однієї дози туберкуліну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47,35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51,11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55,56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60,00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Якості: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Динаміка росту лікарських відвідувань до минулого року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101,1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100,1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Відсоток задекларованого населення до числа жителів громади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92,2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92,2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92,2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92,2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Рівень забезпечення </w:t>
            </w: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туберкулінодіагностики</w:t>
            </w:r>
            <w:proofErr w:type="spellEnd"/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 населення, що перебуває в зоні ризику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</w:tbl>
    <w:p w:rsidR="00AE68BA" w:rsidRPr="00AE68BA" w:rsidRDefault="00AE68BA" w:rsidP="00AE68BA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AE6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lastRenderedPageBreak/>
        <w:t>Забезпечення надання належної лікувально-оздоровчої та профілактичної стоматологічної допомоги населенню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134"/>
        <w:gridCol w:w="1134"/>
        <w:gridCol w:w="1134"/>
        <w:gridCol w:w="1134"/>
      </w:tblGrid>
      <w:tr w:rsidR="00AE68BA" w:rsidRPr="00AE68BA" w:rsidTr="00AE68BA">
        <w:tc>
          <w:tcPr>
            <w:tcW w:w="562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з/п</w:t>
            </w:r>
          </w:p>
        </w:tc>
        <w:tc>
          <w:tcPr>
            <w:tcW w:w="3402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lang w:val="uk-UA" w:bidi="uk-UA"/>
              </w:rPr>
              <w:t>Назва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lang w:val="uk-UA" w:bidi="uk-UA"/>
              </w:rPr>
              <w:t>показника</w:t>
            </w:r>
          </w:p>
        </w:tc>
        <w:tc>
          <w:tcPr>
            <w:tcW w:w="993" w:type="dxa"/>
            <w:vMerge w:val="restart"/>
          </w:tcPr>
          <w:p w:rsidR="00AE68BA" w:rsidRPr="00AE68BA" w:rsidRDefault="00AE68BA" w:rsidP="00AE68BA">
            <w:pPr>
              <w:tabs>
                <w:tab w:val="left" w:pos="709"/>
              </w:tabs>
              <w:spacing w:before="120"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  <w:lang w:val="uk-UA" w:eastAsia="uk-UA" w:bidi="uk-UA"/>
              </w:rPr>
              <w:t>Одиниця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  <w:lang w:val="uk-UA" w:eastAsia="uk-UA" w:bidi="uk-UA"/>
              </w:rPr>
              <w:t>виміру</w:t>
            </w:r>
          </w:p>
        </w:tc>
        <w:tc>
          <w:tcPr>
            <w:tcW w:w="1134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Вихідні дані на початок дії Програми</w:t>
            </w:r>
          </w:p>
        </w:tc>
        <w:tc>
          <w:tcPr>
            <w:tcW w:w="3402" w:type="dxa"/>
            <w:gridSpan w:val="3"/>
          </w:tcPr>
          <w:p w:rsidR="00AE68BA" w:rsidRPr="00AE68BA" w:rsidRDefault="00AE68BA" w:rsidP="00AE68BA">
            <w:pPr>
              <w:spacing w:after="160" w:line="259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Етап виконання Програми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</w:p>
        </w:tc>
      </w:tr>
      <w:tr w:rsidR="00AE68BA" w:rsidRPr="00AE68BA" w:rsidTr="00AE68BA">
        <w:trPr>
          <w:trHeight w:val="551"/>
        </w:trPr>
        <w:tc>
          <w:tcPr>
            <w:tcW w:w="562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2027 рік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2028 рік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2029 рік</w:t>
            </w:r>
          </w:p>
        </w:tc>
      </w:tr>
      <w:tr w:rsidR="00AE68BA" w:rsidRPr="00AE68BA" w:rsidTr="00F35CE0">
        <w:trPr>
          <w:trHeight w:val="339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</w:tr>
      <w:tr w:rsidR="00AE68BA" w:rsidRPr="00AE68BA" w:rsidTr="00F35CE0">
        <w:trPr>
          <w:trHeight w:val="190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Витрат: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видатків на надання фінансової підтримки комунальному некомерційному підприємству «Стоматологічна поліклініка» з бюджету міської територіальної громади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1 555,5</w:t>
            </w:r>
          </w:p>
        </w:tc>
        <w:tc>
          <w:tcPr>
            <w:tcW w:w="1134" w:type="dxa"/>
          </w:tcPr>
          <w:p w:rsidR="00AE68BA" w:rsidRPr="00F87F02" w:rsidRDefault="00AE68BA" w:rsidP="008824E9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87F02">
              <w:rPr>
                <w:rFonts w:ascii="Times New Roman" w:eastAsia="Times New Roman" w:hAnsi="Times New Roman" w:cs="Times New Roman"/>
                <w:lang w:val="uk-UA"/>
              </w:rPr>
              <w:t>4 0</w:t>
            </w:r>
            <w:r w:rsidR="008824E9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Pr="00F87F02">
              <w:rPr>
                <w:rFonts w:ascii="Times New Roman" w:eastAsia="Times New Roman" w:hAnsi="Times New Roman" w:cs="Times New Roman"/>
                <w:lang w:val="uk-UA"/>
              </w:rPr>
              <w:t>9,4</w:t>
            </w:r>
          </w:p>
        </w:tc>
        <w:tc>
          <w:tcPr>
            <w:tcW w:w="1134" w:type="dxa"/>
          </w:tcPr>
          <w:p w:rsidR="00AE68BA" w:rsidRPr="00F87F02" w:rsidRDefault="00AE68BA" w:rsidP="008824E9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87F02">
              <w:rPr>
                <w:rFonts w:ascii="Times New Roman" w:eastAsia="Times New Roman" w:hAnsi="Times New Roman" w:cs="Times New Roman"/>
                <w:lang w:val="uk-UA"/>
              </w:rPr>
              <w:t>2 </w:t>
            </w:r>
            <w:r w:rsidR="008824E9">
              <w:rPr>
                <w:rFonts w:ascii="Times New Roman" w:eastAsia="Times New Roman" w:hAnsi="Times New Roman" w:cs="Times New Roman"/>
                <w:lang w:val="uk-UA"/>
              </w:rPr>
              <w:t>91</w:t>
            </w:r>
            <w:r w:rsidRPr="00F87F02">
              <w:rPr>
                <w:rFonts w:ascii="Times New Roman" w:eastAsia="Times New Roman" w:hAnsi="Times New Roman" w:cs="Times New Roman"/>
                <w:lang w:val="uk-UA"/>
              </w:rPr>
              <w:t>0,4</w:t>
            </w:r>
          </w:p>
        </w:tc>
        <w:tc>
          <w:tcPr>
            <w:tcW w:w="1134" w:type="dxa"/>
          </w:tcPr>
          <w:p w:rsidR="00AE68BA" w:rsidRPr="00F87F02" w:rsidRDefault="00AE68BA" w:rsidP="008824E9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87F02">
              <w:rPr>
                <w:rFonts w:ascii="Times New Roman" w:eastAsia="Times New Roman" w:hAnsi="Times New Roman" w:cs="Times New Roman"/>
                <w:lang w:val="uk-UA"/>
              </w:rPr>
              <w:t>3 7</w:t>
            </w:r>
            <w:r w:rsidR="008824E9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F87F02">
              <w:rPr>
                <w:rFonts w:ascii="Times New Roman" w:eastAsia="Times New Roman" w:hAnsi="Times New Roman" w:cs="Times New Roman"/>
                <w:lang w:val="uk-UA"/>
              </w:rPr>
              <w:t>8,1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з оплати праці </w:t>
            </w: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знарахуваннями</w:t>
            </w:r>
            <w:proofErr w:type="spellEnd"/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 на надання невідкладної стоматологічної допомоги жителям Звягельської МТГ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1 188,0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1 485,0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1 856,2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2 320,3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Обсяг видатків для оплати витрат на комунальні послуги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367,5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459,4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574,2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717,8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ind w:right="-102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придбання обладнання та предметів довгострокового користування 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35CE0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1 925,0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280,0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ind w:right="-102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Штатна чисельність медичного персоналу, що надають невідкладну стоматологічну допомогу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Calibri" w:hAnsi="Times New Roman" w:cs="Times New Roman"/>
                <w:lang w:val="uk-UA"/>
              </w:rPr>
              <w:t>шт.од</w:t>
            </w:r>
            <w:proofErr w:type="spellEnd"/>
            <w:r w:rsidRPr="00AE68B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Продукту: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лікарських відвідувань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15814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16 000</w:t>
            </w:r>
          </w:p>
        </w:tc>
        <w:tc>
          <w:tcPr>
            <w:tcW w:w="1134" w:type="dxa"/>
          </w:tcPr>
          <w:p w:rsidR="00AE68BA" w:rsidRPr="00AE68BA" w:rsidRDefault="00AE68BA" w:rsidP="00F87F02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16 </w:t>
            </w:r>
            <w:r w:rsidR="00F87F02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Pr="00AE68BA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1134" w:type="dxa"/>
          </w:tcPr>
          <w:p w:rsidR="00AE68BA" w:rsidRPr="00AE68BA" w:rsidRDefault="00AE68BA" w:rsidP="00F87F02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16 </w:t>
            </w:r>
            <w:r w:rsidR="00F87F02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AE68BA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 випадків надання невідкладної стоматологічної допомоги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2982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3 000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3 000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3 000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придбаного обладнання та предметів довгострокового користування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Ефективності: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Середній обсяг видатків на одне придбання</w:t>
            </w:r>
            <w:r w:rsidRPr="00AE68BA">
              <w:rPr>
                <w:rFonts w:ascii="Calibri" w:eastAsia="Calibri" w:hAnsi="Calibri" w:cs="Times New Roman"/>
              </w:rPr>
              <w:t xml:space="preserve"> </w:t>
            </w: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обладнання та </w:t>
            </w:r>
            <w:r w:rsidRPr="00AE68B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предметів довгострокового користування  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481,25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140,0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 випадків надання невідкладної стоматологічної допомоги на одного фахівця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229</w:t>
            </w:r>
          </w:p>
        </w:tc>
        <w:tc>
          <w:tcPr>
            <w:tcW w:w="1134" w:type="dxa"/>
          </w:tcPr>
          <w:p w:rsidR="00AE68BA" w:rsidRPr="00AE68BA" w:rsidRDefault="00AE68BA" w:rsidP="00F87F02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23</w:t>
            </w:r>
            <w:r w:rsidR="00F87F02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</w:tcPr>
          <w:p w:rsidR="00AE68BA" w:rsidRPr="00AE68BA" w:rsidRDefault="00AE68BA" w:rsidP="00F87F02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F87F02"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1134" w:type="dxa"/>
          </w:tcPr>
          <w:p w:rsidR="00AE68BA" w:rsidRPr="00AE68BA" w:rsidRDefault="00AE68BA" w:rsidP="00F87F02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F87F02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Середня вартість надання однієї послуги з невідкладної стоматологічної допомоги 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грн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398,39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495,00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618,73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773,43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Якості: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Динаміка росту лікарських відвідувань до минулого року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89,8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101,2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Відсоток отриманої невідкладної допомоги до загальної кількості лікарських відвідувань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18,9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18,75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18,75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18,75</w:t>
            </w:r>
          </w:p>
        </w:tc>
      </w:tr>
    </w:tbl>
    <w:p w:rsidR="001544C1" w:rsidRDefault="00AE68BA" w:rsidP="006C7A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uk-UA" w:eastAsia="ru-RU"/>
        </w:rPr>
      </w:pPr>
      <w:r w:rsidRPr="00AE68B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uk-UA" w:eastAsia="ru-RU"/>
        </w:rPr>
        <w:tab/>
        <w:t xml:space="preserve"> </w:t>
      </w:r>
    </w:p>
    <w:p w:rsidR="00AE68BA" w:rsidRPr="00AE68BA" w:rsidRDefault="00AE68BA" w:rsidP="000813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AE6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Забезпечення надання медичної допомоги окремим категоріям населенню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134"/>
        <w:gridCol w:w="1134"/>
        <w:gridCol w:w="1134"/>
        <w:gridCol w:w="1134"/>
      </w:tblGrid>
      <w:tr w:rsidR="00AE68BA" w:rsidRPr="00AE68BA" w:rsidTr="00AE68BA">
        <w:tc>
          <w:tcPr>
            <w:tcW w:w="562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з/п</w:t>
            </w:r>
          </w:p>
        </w:tc>
        <w:tc>
          <w:tcPr>
            <w:tcW w:w="3402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lang w:val="uk-UA" w:bidi="uk-UA"/>
              </w:rPr>
              <w:t>Назва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lang w:val="uk-UA" w:bidi="uk-UA"/>
              </w:rPr>
              <w:t>показника</w:t>
            </w:r>
          </w:p>
        </w:tc>
        <w:tc>
          <w:tcPr>
            <w:tcW w:w="993" w:type="dxa"/>
            <w:vMerge w:val="restart"/>
          </w:tcPr>
          <w:p w:rsidR="00AE68BA" w:rsidRPr="00AE68BA" w:rsidRDefault="00AE68BA" w:rsidP="00AE68BA">
            <w:pPr>
              <w:tabs>
                <w:tab w:val="left" w:pos="709"/>
              </w:tabs>
              <w:spacing w:before="120"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  <w:lang w:val="uk-UA" w:eastAsia="uk-UA" w:bidi="uk-UA"/>
              </w:rPr>
              <w:t>Одиниця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3"/>
                <w:szCs w:val="23"/>
                <w:shd w:val="clear" w:color="auto" w:fill="FFFFFF"/>
                <w:lang w:val="uk-UA" w:eastAsia="uk-UA" w:bidi="uk-UA"/>
              </w:rPr>
              <w:t>виміру</w:t>
            </w:r>
          </w:p>
        </w:tc>
        <w:tc>
          <w:tcPr>
            <w:tcW w:w="1134" w:type="dxa"/>
            <w:vMerge w:val="restart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Вихідні дані на початок дії Програми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E68BA" w:rsidRPr="00AE68BA" w:rsidRDefault="00AE68BA" w:rsidP="00AE68BA">
            <w:pPr>
              <w:spacing w:after="160" w:line="259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E68B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Етап виконання Програми</w:t>
            </w:r>
          </w:p>
          <w:p w:rsidR="00AE68BA" w:rsidRPr="00AE68BA" w:rsidRDefault="00AE68BA" w:rsidP="00AE68BA">
            <w:pPr>
              <w:spacing w:after="160" w:line="259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</w:p>
        </w:tc>
      </w:tr>
      <w:tr w:rsidR="00AE68BA" w:rsidRPr="00AE68BA" w:rsidTr="00AE68BA">
        <w:trPr>
          <w:trHeight w:val="551"/>
        </w:trPr>
        <w:tc>
          <w:tcPr>
            <w:tcW w:w="562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2029 рік</w:t>
            </w:r>
          </w:p>
        </w:tc>
      </w:tr>
      <w:tr w:rsidR="00AE68BA" w:rsidRPr="00AE68BA" w:rsidTr="00AE68BA">
        <w:trPr>
          <w:trHeight w:val="222"/>
        </w:trPr>
        <w:tc>
          <w:tcPr>
            <w:tcW w:w="562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993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134" w:type="dxa"/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AE68BA" w:rsidRPr="00AE68BA" w:rsidRDefault="00AE68BA" w:rsidP="006C7A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</w:tr>
      <w:tr w:rsidR="00AE68BA" w:rsidRPr="00AE68BA" w:rsidTr="00AE68BA">
        <w:trPr>
          <w:trHeight w:val="199"/>
        </w:trPr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Витрат: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Обсяг видатків на забезпечення продуктами харчування хворих на </w:t>
            </w:r>
            <w:proofErr w:type="spellStart"/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фенілкетонурію</w:t>
            </w:r>
            <w:proofErr w:type="spellEnd"/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1 400,0</w:t>
            </w:r>
          </w:p>
        </w:tc>
        <w:tc>
          <w:tcPr>
            <w:tcW w:w="1134" w:type="dxa"/>
          </w:tcPr>
          <w:p w:rsidR="00AE68BA" w:rsidRPr="00F87F02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87F02">
              <w:rPr>
                <w:rFonts w:ascii="Times New Roman" w:eastAsia="Times New Roman" w:hAnsi="Times New Roman" w:cs="Times New Roman"/>
                <w:lang w:val="uk-UA"/>
              </w:rPr>
              <w:t>1 600,0</w:t>
            </w:r>
          </w:p>
        </w:tc>
        <w:tc>
          <w:tcPr>
            <w:tcW w:w="1134" w:type="dxa"/>
          </w:tcPr>
          <w:p w:rsidR="00AE68BA" w:rsidRPr="00F87F02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87F02">
              <w:rPr>
                <w:rFonts w:ascii="Times New Roman" w:eastAsia="Times New Roman" w:hAnsi="Times New Roman" w:cs="Times New Roman"/>
                <w:lang w:val="uk-UA"/>
              </w:rPr>
              <w:t>1 800,0</w:t>
            </w:r>
          </w:p>
        </w:tc>
        <w:tc>
          <w:tcPr>
            <w:tcW w:w="1134" w:type="dxa"/>
          </w:tcPr>
          <w:p w:rsidR="00AE68BA" w:rsidRPr="00F87F02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87F02">
              <w:rPr>
                <w:rFonts w:ascii="Times New Roman" w:eastAsia="Times New Roman" w:hAnsi="Times New Roman" w:cs="Times New Roman"/>
                <w:lang w:val="uk-UA"/>
              </w:rPr>
              <w:t>2 000,0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Обсяг видатків на безоплатний пільговий відпуск медикаментів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2 500,0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3 300,0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3 960,0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4 592,0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Обсяг видатків на забезпечення технічними засобами окремих категорій населення згідно з чинним законодавством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1 500,0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8 000,0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8 000,0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9 000,0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Продукту: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дітей, хворих на </w:t>
            </w: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фенілкетонурію</w:t>
            </w:r>
            <w:proofErr w:type="spellEnd"/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ос.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хворих, що отримали медикаменти безкоштовно або на пільгових умовах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ос.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490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490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490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490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Кількість осіб, яким видані технічні засоби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ос.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243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243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243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243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Ефективності: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Середні видатки на забезпечення</w:t>
            </w:r>
            <w:r w:rsidRPr="00AE68BA">
              <w:rPr>
                <w:rFonts w:ascii="Calibri" w:eastAsia="Calibri" w:hAnsi="Calibri" w:cs="Times New Roman"/>
              </w:rPr>
              <w:t xml:space="preserve"> </w:t>
            </w:r>
            <w:r w:rsidRPr="00AE68BA">
              <w:rPr>
                <w:rFonts w:ascii="Times New Roman" w:eastAsia="Calibri" w:hAnsi="Times New Roman" w:cs="Times New Roman"/>
                <w:lang w:val="uk-UA"/>
              </w:rPr>
              <w:t xml:space="preserve">продуктами харчування </w:t>
            </w: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дітей, хворих на </w:t>
            </w: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фенілкетонурію</w:t>
            </w:r>
            <w:proofErr w:type="spellEnd"/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350,0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400,0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450,0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 видатки на забезпечення одного хворого медикаментами безкоштовно або на пільгових умовах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5,102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6,735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8,082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9,371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Середні видатки на забезпечення однієї особи технічними засобами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6, 173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32,922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32,922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37,037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b/>
                <w:lang w:val="uk-UA"/>
              </w:rPr>
              <w:t>Якості: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 xml:space="preserve">Рівень забезпечення продуктами харчування хворих на </w:t>
            </w:r>
            <w:proofErr w:type="spellStart"/>
            <w:r w:rsidRPr="00AE68BA">
              <w:rPr>
                <w:rFonts w:ascii="Times New Roman" w:eastAsia="Times New Roman" w:hAnsi="Times New Roman" w:cs="Times New Roman"/>
                <w:lang w:val="uk-UA"/>
              </w:rPr>
              <w:t>фенілкетонурію</w:t>
            </w:r>
            <w:proofErr w:type="spellEnd"/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 забезпечення населення громади безоплатним та пільговим відпуском медикаментів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AE68BA" w:rsidRPr="00AE68BA" w:rsidTr="00AE68BA">
        <w:tc>
          <w:tcPr>
            <w:tcW w:w="56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Рівень забезпечення потреби технічними засобами окремих категорій населення згідно з чинним законодавством</w:t>
            </w:r>
          </w:p>
        </w:tc>
        <w:tc>
          <w:tcPr>
            <w:tcW w:w="993" w:type="dxa"/>
          </w:tcPr>
          <w:p w:rsidR="00AE68BA" w:rsidRPr="00AE68BA" w:rsidRDefault="00AE68BA" w:rsidP="00AE68BA">
            <w:pPr>
              <w:spacing w:after="160" w:line="259" w:lineRule="auto"/>
              <w:jc w:val="left"/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</w:pPr>
            <w:r w:rsidRPr="00AE68BA">
              <w:rPr>
                <w:rFonts w:ascii="Arial" w:eastAsia="Times New Roman" w:hAnsi="Arial" w:cs="Arial"/>
                <w:color w:val="00000A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25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134" w:type="dxa"/>
          </w:tcPr>
          <w:p w:rsidR="00AE68BA" w:rsidRPr="00AE68BA" w:rsidRDefault="00AE68BA" w:rsidP="00AE68B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68BA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</w:tbl>
    <w:p w:rsidR="0008133F" w:rsidRDefault="0008133F" w:rsidP="00823374">
      <w:pPr>
        <w:pStyle w:val="a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3374" w:rsidRDefault="00823374" w:rsidP="00823374">
      <w:pPr>
        <w:pStyle w:val="a7"/>
        <w:jc w:val="center"/>
        <w:rPr>
          <w:rFonts w:ascii="Times New Roman" w:hAnsi="Times New Roman"/>
          <w:b/>
          <w:caps/>
          <w:sz w:val="24"/>
          <w:szCs w:val="24"/>
        </w:rPr>
      </w:pPr>
      <w:r w:rsidRPr="00823374">
        <w:rPr>
          <w:rFonts w:ascii="Times New Roman" w:hAnsi="Times New Roman"/>
          <w:b/>
          <w:caps/>
          <w:sz w:val="24"/>
          <w:szCs w:val="24"/>
        </w:rPr>
        <w:t>V. очікувані результати виконання програми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823374">
        <w:rPr>
          <w:rFonts w:ascii="Times New Roman" w:hAnsi="Times New Roman"/>
          <w:sz w:val="24"/>
          <w:szCs w:val="24"/>
        </w:rPr>
        <w:t>Реалізація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забезпечить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комплексне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охорони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громади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призведе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823374">
        <w:rPr>
          <w:rFonts w:ascii="Times New Roman" w:hAnsi="Times New Roman"/>
          <w:sz w:val="24"/>
          <w:szCs w:val="24"/>
        </w:rPr>
        <w:t>досягнення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Pr="00823374">
        <w:rPr>
          <w:rFonts w:ascii="Times New Roman" w:hAnsi="Times New Roman"/>
          <w:sz w:val="24"/>
          <w:szCs w:val="24"/>
        </w:rPr>
        <w:t>результатів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1. </w:t>
      </w:r>
      <w:proofErr w:type="spellStart"/>
      <w:r w:rsidRPr="00823374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якості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доступності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послуг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823374" w:rsidRDefault="00823374" w:rsidP="00DF7D98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рівня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доступності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первинної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спеціалізованої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допомоги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23374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; </w:t>
      </w:r>
    </w:p>
    <w:p w:rsidR="00823374" w:rsidRPr="00823374" w:rsidRDefault="00823374" w:rsidP="00DF7D98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скорочення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часу </w:t>
      </w:r>
      <w:proofErr w:type="spellStart"/>
      <w:r w:rsidRPr="00823374">
        <w:rPr>
          <w:rFonts w:ascii="Times New Roman" w:hAnsi="Times New Roman"/>
          <w:sz w:val="24"/>
          <w:szCs w:val="24"/>
        </w:rPr>
        <w:t>очікування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23374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послуг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; </w:t>
      </w:r>
    </w:p>
    <w:p w:rsidR="00823374" w:rsidRPr="00823374" w:rsidRDefault="00823374" w:rsidP="00DF7D98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розширення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переліку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якості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послуг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у КНП закладах. 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2. </w:t>
      </w:r>
      <w:proofErr w:type="spellStart"/>
      <w:r w:rsidRPr="00823374">
        <w:rPr>
          <w:rFonts w:ascii="Times New Roman" w:hAnsi="Times New Roman"/>
          <w:sz w:val="24"/>
          <w:szCs w:val="24"/>
        </w:rPr>
        <w:t>Модернізація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матеріально-технічної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бази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823374" w:rsidRDefault="00823374" w:rsidP="00DF7D98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оновлення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значної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частини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медичного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(до 80–90%); </w:t>
      </w:r>
    </w:p>
    <w:p w:rsidR="00823374" w:rsidRPr="00823374" w:rsidRDefault="00823374" w:rsidP="00DF7D98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стану </w:t>
      </w:r>
      <w:proofErr w:type="spellStart"/>
      <w:r w:rsidRPr="00823374">
        <w:rPr>
          <w:rFonts w:ascii="Times New Roman" w:hAnsi="Times New Roman"/>
          <w:sz w:val="24"/>
          <w:szCs w:val="24"/>
        </w:rPr>
        <w:t>приміщень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охорони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823374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капітальних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поточних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ремонтів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; </w:t>
      </w:r>
    </w:p>
    <w:p w:rsidR="00823374" w:rsidRPr="00823374" w:rsidRDefault="00823374" w:rsidP="00DF7D98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Pr="00823374">
        <w:rPr>
          <w:rFonts w:ascii="Times New Roman" w:hAnsi="Times New Roman"/>
          <w:sz w:val="24"/>
          <w:szCs w:val="24"/>
        </w:rPr>
        <w:t>абезпечення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сучасними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діагностичними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лікувальними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засобами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. </w:t>
      </w:r>
    </w:p>
    <w:p w:rsid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3. </w:t>
      </w:r>
      <w:proofErr w:type="spellStart"/>
      <w:r w:rsidRPr="00823374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кадрового </w:t>
      </w:r>
      <w:proofErr w:type="spellStart"/>
      <w:r w:rsidRPr="00823374">
        <w:rPr>
          <w:rFonts w:ascii="Times New Roman" w:hAnsi="Times New Roman"/>
          <w:sz w:val="24"/>
          <w:szCs w:val="24"/>
        </w:rPr>
        <w:t>потенціалу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461C02" w:rsidRDefault="00823374" w:rsidP="00461C02">
      <w:pPr>
        <w:pStyle w:val="a7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spellStart"/>
      <w:r w:rsidRPr="00461C02">
        <w:rPr>
          <w:rFonts w:ascii="Times New Roman" w:hAnsi="Times New Roman"/>
          <w:sz w:val="24"/>
          <w:szCs w:val="24"/>
        </w:rPr>
        <w:t>зменшення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кадрового </w:t>
      </w:r>
      <w:proofErr w:type="spellStart"/>
      <w:r w:rsidRPr="00461C02">
        <w:rPr>
          <w:rFonts w:ascii="Times New Roman" w:hAnsi="Times New Roman"/>
          <w:sz w:val="24"/>
          <w:szCs w:val="24"/>
        </w:rPr>
        <w:t>дефіциту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C02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C02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; </w:t>
      </w:r>
    </w:p>
    <w:p w:rsidR="00823374" w:rsidRPr="00461C02" w:rsidRDefault="00823374" w:rsidP="00461C02">
      <w:pPr>
        <w:pStyle w:val="a7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proofErr w:type="spellStart"/>
      <w:r w:rsidRPr="00461C02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C02">
        <w:rPr>
          <w:rFonts w:ascii="Times New Roman" w:hAnsi="Times New Roman"/>
          <w:sz w:val="24"/>
          <w:szCs w:val="24"/>
        </w:rPr>
        <w:t>рівня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C02">
        <w:rPr>
          <w:rFonts w:ascii="Times New Roman" w:hAnsi="Times New Roman"/>
          <w:sz w:val="24"/>
          <w:szCs w:val="24"/>
        </w:rPr>
        <w:t>укомплектованості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C02">
        <w:rPr>
          <w:rFonts w:ascii="Times New Roman" w:hAnsi="Times New Roman"/>
          <w:sz w:val="24"/>
          <w:szCs w:val="24"/>
        </w:rPr>
        <w:t>медичними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кадрами до 85–90%; </w:t>
      </w:r>
    </w:p>
    <w:p w:rsidR="00823374" w:rsidRDefault="00823374" w:rsidP="00461C02">
      <w:pPr>
        <w:pStyle w:val="a7"/>
        <w:numPr>
          <w:ilvl w:val="0"/>
          <w:numId w:val="24"/>
        </w:numPr>
      </w:pPr>
      <w:proofErr w:type="spellStart"/>
      <w:r w:rsidRPr="00461C02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C02">
        <w:rPr>
          <w:rFonts w:ascii="Times New Roman" w:hAnsi="Times New Roman"/>
          <w:sz w:val="24"/>
          <w:szCs w:val="24"/>
        </w:rPr>
        <w:t>стимулів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61C02">
        <w:rPr>
          <w:rFonts w:ascii="Times New Roman" w:hAnsi="Times New Roman"/>
          <w:sz w:val="24"/>
          <w:szCs w:val="24"/>
        </w:rPr>
        <w:t>залучення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61C02">
        <w:rPr>
          <w:rFonts w:ascii="Times New Roman" w:hAnsi="Times New Roman"/>
          <w:sz w:val="24"/>
          <w:szCs w:val="24"/>
        </w:rPr>
        <w:t>утримання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C02">
        <w:rPr>
          <w:rFonts w:ascii="Times New Roman" w:hAnsi="Times New Roman"/>
          <w:sz w:val="24"/>
          <w:szCs w:val="24"/>
        </w:rPr>
        <w:t>кваліфікованих</w:t>
      </w:r>
      <w:proofErr w:type="spellEnd"/>
      <w:r w:rsidRPr="00461C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C02">
        <w:rPr>
          <w:rFonts w:ascii="Times New Roman" w:hAnsi="Times New Roman"/>
          <w:sz w:val="24"/>
          <w:szCs w:val="24"/>
        </w:rPr>
        <w:t>спеціалістів</w:t>
      </w:r>
      <w:proofErr w:type="spellEnd"/>
      <w:r w:rsidRPr="00823374">
        <w:t xml:space="preserve">. 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4. </w:t>
      </w:r>
      <w:proofErr w:type="spellStart"/>
      <w:r w:rsidRPr="00823374">
        <w:rPr>
          <w:rFonts w:ascii="Times New Roman" w:hAnsi="Times New Roman"/>
          <w:sz w:val="24"/>
          <w:szCs w:val="24"/>
        </w:rPr>
        <w:t>Фінансова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стабільність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охорони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823374" w:rsidRDefault="00823374" w:rsidP="00DF7D98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стабільного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КНП </w:t>
      </w:r>
      <w:proofErr w:type="spellStart"/>
      <w:r w:rsidRPr="00823374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з бюджету </w:t>
      </w:r>
      <w:proofErr w:type="spellStart"/>
      <w:r w:rsidRPr="00823374">
        <w:rPr>
          <w:rFonts w:ascii="Times New Roman" w:hAnsi="Times New Roman"/>
          <w:sz w:val="24"/>
          <w:szCs w:val="24"/>
        </w:rPr>
        <w:t>громади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; </w:t>
      </w:r>
    </w:p>
    <w:p w:rsidR="00823374" w:rsidRPr="00823374" w:rsidRDefault="00823374" w:rsidP="00DF7D98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lastRenderedPageBreak/>
        <w:t>збільшення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обсягів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галузі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до 15–20% у </w:t>
      </w:r>
      <w:proofErr w:type="spellStart"/>
      <w:r w:rsidRPr="00823374">
        <w:rPr>
          <w:rFonts w:ascii="Times New Roman" w:hAnsi="Times New Roman"/>
          <w:sz w:val="24"/>
          <w:szCs w:val="24"/>
        </w:rPr>
        <w:t>структурі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видатків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соціальної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сфери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; </w:t>
      </w:r>
    </w:p>
    <w:p w:rsidR="00823374" w:rsidRDefault="00823374" w:rsidP="00DF7D98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ефективне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коштів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служби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. 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5. </w:t>
      </w:r>
      <w:proofErr w:type="spellStart"/>
      <w:r w:rsidRPr="00823374">
        <w:rPr>
          <w:rFonts w:ascii="Times New Roman" w:hAnsi="Times New Roman"/>
          <w:sz w:val="24"/>
          <w:szCs w:val="24"/>
        </w:rPr>
        <w:t>Цифровізація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інноваційний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823374" w:rsidRDefault="00823374" w:rsidP="00DF7D98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повне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охорони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(100% </w:t>
      </w:r>
      <w:proofErr w:type="spellStart"/>
      <w:r w:rsidRPr="00823374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); </w:t>
      </w:r>
    </w:p>
    <w:p w:rsidR="00823374" w:rsidRPr="00823374" w:rsidRDefault="00823374" w:rsidP="00DF7D98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телемедицини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електронного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документообігу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; </w:t>
      </w:r>
    </w:p>
    <w:p w:rsidR="00823374" w:rsidRPr="00823374" w:rsidRDefault="00823374" w:rsidP="00DF7D98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медичними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процесами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. 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6. </w:t>
      </w:r>
      <w:proofErr w:type="spellStart"/>
      <w:r w:rsidRPr="00823374">
        <w:rPr>
          <w:rFonts w:ascii="Times New Roman" w:hAnsi="Times New Roman"/>
          <w:sz w:val="24"/>
          <w:szCs w:val="24"/>
        </w:rPr>
        <w:t>Енергоефективність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економія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ресурсів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823374" w:rsidRDefault="00823374" w:rsidP="00DF7D98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зниження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споживання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енергоресурсів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3374">
        <w:rPr>
          <w:rFonts w:ascii="Times New Roman" w:hAnsi="Times New Roman"/>
          <w:sz w:val="24"/>
          <w:szCs w:val="24"/>
        </w:rPr>
        <w:t>у закладах</w:t>
      </w:r>
      <w:proofErr w:type="gramEnd"/>
      <w:r w:rsidRPr="00823374">
        <w:rPr>
          <w:rFonts w:ascii="Times New Roman" w:hAnsi="Times New Roman"/>
          <w:sz w:val="24"/>
          <w:szCs w:val="24"/>
        </w:rPr>
        <w:t xml:space="preserve"> на 10–15%; </w:t>
      </w:r>
    </w:p>
    <w:p w:rsidR="00823374" w:rsidRPr="00823374" w:rsidRDefault="00823374" w:rsidP="00DF7D98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енергоефективних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технологій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модернізація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інженерних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систем; </w:t>
      </w:r>
    </w:p>
    <w:p w:rsidR="00823374" w:rsidRPr="00823374" w:rsidRDefault="00823374" w:rsidP="00DF7D98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зменшення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витрат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23374">
        <w:rPr>
          <w:rFonts w:ascii="Times New Roman" w:hAnsi="Times New Roman"/>
          <w:sz w:val="24"/>
          <w:szCs w:val="24"/>
        </w:rPr>
        <w:t>утримання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. 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7. </w:t>
      </w:r>
      <w:proofErr w:type="spellStart"/>
      <w:r w:rsidRPr="00823374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рівня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задоволеності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823374" w:rsidRDefault="00823374" w:rsidP="00DF7D98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зростання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рівня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задоволеності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якістю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медичних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послуг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до 70–75%; </w:t>
      </w:r>
    </w:p>
    <w:p w:rsidR="00823374" w:rsidRPr="00823374" w:rsidRDefault="00823374" w:rsidP="00DF7D98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комунікації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між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пацієнтами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медичними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закладами; </w:t>
      </w:r>
    </w:p>
    <w:p w:rsidR="00823374" w:rsidRPr="00823374" w:rsidRDefault="00823374" w:rsidP="00DF7D98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довіри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82337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охорони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громади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. 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8. </w:t>
      </w:r>
      <w:proofErr w:type="spellStart"/>
      <w:r w:rsidRPr="00823374">
        <w:rPr>
          <w:rFonts w:ascii="Times New Roman" w:hAnsi="Times New Roman"/>
          <w:sz w:val="24"/>
          <w:szCs w:val="24"/>
        </w:rPr>
        <w:t>Загальний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соціальний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ефект</w:t>
      </w:r>
      <w:proofErr w:type="spellEnd"/>
      <w:r w:rsidRPr="00823374">
        <w:rPr>
          <w:rFonts w:ascii="Times New Roman" w:hAnsi="Times New Roman"/>
          <w:sz w:val="24"/>
          <w:szCs w:val="24"/>
        </w:rPr>
        <w:t>:</w:t>
      </w:r>
    </w:p>
    <w:p w:rsidR="00823374" w:rsidRPr="00823374" w:rsidRDefault="00823374" w:rsidP="00DF7D98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зниження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рівня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захворюваності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ускладнень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завдяки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ранній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діагностиці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; </w:t>
      </w:r>
    </w:p>
    <w:p w:rsidR="00823374" w:rsidRPr="00823374" w:rsidRDefault="00823374" w:rsidP="00DF7D98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здоров’я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громади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; </w:t>
      </w:r>
    </w:p>
    <w:p w:rsidR="00823374" w:rsidRPr="00823374" w:rsidRDefault="00823374" w:rsidP="00DF7D98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3374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якості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23374">
        <w:rPr>
          <w:rFonts w:ascii="Times New Roman" w:hAnsi="Times New Roman"/>
          <w:sz w:val="24"/>
          <w:szCs w:val="24"/>
        </w:rPr>
        <w:t>тривалості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життя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мешканців</w:t>
      </w:r>
      <w:proofErr w:type="spellEnd"/>
      <w:r w:rsidRPr="00823374">
        <w:rPr>
          <w:rFonts w:ascii="Times New Roman" w:hAnsi="Times New Roman"/>
          <w:sz w:val="24"/>
          <w:szCs w:val="24"/>
        </w:rPr>
        <w:t>.</w:t>
      </w:r>
    </w:p>
    <w:p w:rsidR="0008133F" w:rsidRDefault="0008133F" w:rsidP="00823374">
      <w:pPr>
        <w:pStyle w:val="a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3374" w:rsidRDefault="00823374" w:rsidP="00823374">
      <w:pPr>
        <w:pStyle w:val="a7"/>
        <w:jc w:val="center"/>
        <w:rPr>
          <w:rFonts w:ascii="Times New Roman" w:hAnsi="Times New Roman"/>
          <w:b/>
          <w:caps/>
          <w:sz w:val="24"/>
          <w:szCs w:val="24"/>
        </w:rPr>
      </w:pPr>
      <w:r w:rsidRPr="00823374">
        <w:rPr>
          <w:rFonts w:ascii="Times New Roman" w:hAnsi="Times New Roman"/>
          <w:b/>
          <w:caps/>
          <w:sz w:val="24"/>
          <w:szCs w:val="24"/>
        </w:rPr>
        <w:t>VІ. обсяги та джерела фінансування програми</w:t>
      </w:r>
    </w:p>
    <w:p w:rsidR="0001025D" w:rsidRDefault="00823374" w:rsidP="00AE68B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23374">
        <w:rPr>
          <w:rFonts w:ascii="Times New Roman" w:hAnsi="Times New Roman"/>
          <w:sz w:val="24"/>
          <w:szCs w:val="24"/>
        </w:rPr>
        <w:t xml:space="preserve">    </w:t>
      </w:r>
      <w:r w:rsidR="00AE68BA" w:rsidRPr="00AE68BA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Видатки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пов’язані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розвитком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фінансовою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підтримкою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закладів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охорони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здоров’я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Звягельської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міської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громади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здійснюються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рахунок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коштів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виділених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порядку з бюджету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міської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громади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інших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джерел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що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заборонені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України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програми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бюджету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міської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громади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необхідне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зв’язку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тим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що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громада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краще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розуміє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власні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виклики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та потреби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щодо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стимулювання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закладів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охорони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здоров'я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. Виконання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Програми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проводиться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щорічно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виходячи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фінансових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можливостей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бюджету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міської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громади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, в межах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затверджених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бюджетних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8BA" w:rsidRPr="00AE68BA">
        <w:rPr>
          <w:rFonts w:ascii="Times New Roman" w:hAnsi="Times New Roman"/>
          <w:sz w:val="24"/>
          <w:szCs w:val="24"/>
        </w:rPr>
        <w:t>призначень</w:t>
      </w:r>
      <w:proofErr w:type="spellEnd"/>
      <w:r w:rsidR="00AE68BA" w:rsidRPr="00AE68BA">
        <w:rPr>
          <w:rFonts w:ascii="Times New Roman" w:hAnsi="Times New Roman"/>
          <w:sz w:val="24"/>
          <w:szCs w:val="24"/>
        </w:rPr>
        <w:t>.</w:t>
      </w:r>
    </w:p>
    <w:p w:rsidR="00AE68BA" w:rsidRDefault="00AE68BA" w:rsidP="00AE68BA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1708"/>
        <w:gridCol w:w="1701"/>
        <w:gridCol w:w="1701"/>
        <w:gridCol w:w="1701"/>
      </w:tblGrid>
      <w:tr w:rsidR="0001025D" w:rsidRPr="0001025D" w:rsidTr="00AE68BA">
        <w:tc>
          <w:tcPr>
            <w:tcW w:w="2682" w:type="dxa"/>
            <w:vMerge w:val="restart"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10" w:type="dxa"/>
            <w:gridSpan w:val="3"/>
            <w:shd w:val="clear" w:color="auto" w:fill="auto"/>
          </w:tcPr>
          <w:p w:rsidR="0001025D" w:rsidRPr="0001025D" w:rsidRDefault="0001025D" w:rsidP="006C7A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Етапи  виконання  Програми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025D" w:rsidRPr="0001025D" w:rsidRDefault="0001025D" w:rsidP="00AE68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Усього </w:t>
            </w:r>
            <w:r w:rsidR="00AE68B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видатків</w:t>
            </w: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на виконання Програми</w:t>
            </w:r>
          </w:p>
        </w:tc>
      </w:tr>
      <w:tr w:rsidR="0001025D" w:rsidRPr="0001025D" w:rsidTr="00AE68BA">
        <w:tc>
          <w:tcPr>
            <w:tcW w:w="2682" w:type="dxa"/>
            <w:vMerge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</w:p>
        </w:tc>
        <w:tc>
          <w:tcPr>
            <w:tcW w:w="5110" w:type="dxa"/>
            <w:gridSpan w:val="3"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01" w:type="dxa"/>
            <w:vMerge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</w:p>
        </w:tc>
      </w:tr>
      <w:tr w:rsidR="0001025D" w:rsidRPr="0001025D" w:rsidTr="00AE68BA">
        <w:tc>
          <w:tcPr>
            <w:tcW w:w="2682" w:type="dxa"/>
            <w:vMerge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2027 рік</w:t>
            </w:r>
          </w:p>
        </w:tc>
        <w:tc>
          <w:tcPr>
            <w:tcW w:w="1701" w:type="dxa"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2028 рік</w:t>
            </w:r>
          </w:p>
        </w:tc>
        <w:tc>
          <w:tcPr>
            <w:tcW w:w="1701" w:type="dxa"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2029 рік</w:t>
            </w:r>
          </w:p>
        </w:tc>
        <w:tc>
          <w:tcPr>
            <w:tcW w:w="1701" w:type="dxa"/>
            <w:vMerge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</w:p>
        </w:tc>
      </w:tr>
      <w:tr w:rsidR="0001025D" w:rsidRPr="0001025D" w:rsidTr="00AE68BA">
        <w:tc>
          <w:tcPr>
            <w:tcW w:w="2682" w:type="dxa"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обсяг коштів, всього, зокрема: </w:t>
            </w:r>
          </w:p>
        </w:tc>
        <w:tc>
          <w:tcPr>
            <w:tcW w:w="1708" w:type="dxa"/>
            <w:shd w:val="clear" w:color="auto" w:fill="auto"/>
          </w:tcPr>
          <w:p w:rsidR="0001025D" w:rsidRPr="0001025D" w:rsidRDefault="00AE68BA" w:rsidP="0001025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402,5</w:t>
            </w:r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млн </w:t>
            </w:r>
            <w:proofErr w:type="spellStart"/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1025D" w:rsidRPr="0001025D" w:rsidRDefault="00AE68BA" w:rsidP="00882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136,</w:t>
            </w:r>
            <w:r w:rsidR="008824E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1025D" w:rsidRPr="0001025D" w:rsidRDefault="00AE68BA" w:rsidP="0001025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110,0</w:t>
            </w:r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млн </w:t>
            </w:r>
            <w:proofErr w:type="spellStart"/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1025D" w:rsidRPr="0001025D" w:rsidRDefault="00AE68BA" w:rsidP="008824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64</w:t>
            </w:r>
            <w:r w:rsidR="008824E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8824E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млн </w:t>
            </w:r>
            <w:proofErr w:type="spellStart"/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01025D" w:rsidRPr="0001025D" w:rsidTr="00AE68BA">
        <w:tc>
          <w:tcPr>
            <w:tcW w:w="2682" w:type="dxa"/>
            <w:shd w:val="clear" w:color="auto" w:fill="auto"/>
          </w:tcPr>
          <w:p w:rsidR="0001025D" w:rsidRPr="0001025D" w:rsidRDefault="0001025D" w:rsidP="00010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0102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бюджет міської територіальної громади</w:t>
            </w:r>
          </w:p>
        </w:tc>
        <w:tc>
          <w:tcPr>
            <w:tcW w:w="1708" w:type="dxa"/>
            <w:shd w:val="clear" w:color="auto" w:fill="auto"/>
          </w:tcPr>
          <w:p w:rsidR="0001025D" w:rsidRPr="0001025D" w:rsidRDefault="00AE68BA" w:rsidP="0001025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151,2</w:t>
            </w:r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млн </w:t>
            </w:r>
            <w:proofErr w:type="spellStart"/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1025D" w:rsidRPr="0001025D" w:rsidRDefault="00AE68BA" w:rsidP="0001025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120,0</w:t>
            </w:r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млн </w:t>
            </w:r>
            <w:proofErr w:type="spellStart"/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1025D" w:rsidRPr="0001025D" w:rsidRDefault="00AE68BA" w:rsidP="0001025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108,3</w:t>
            </w:r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млн </w:t>
            </w:r>
            <w:proofErr w:type="spellStart"/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1025D" w:rsidRPr="0001025D" w:rsidRDefault="00AE68BA" w:rsidP="00010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 w:eastAsia="ru-RU"/>
              </w:rPr>
              <w:t>379,5</w:t>
            </w:r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млн </w:t>
            </w:r>
            <w:proofErr w:type="spellStart"/>
            <w:r w:rsidR="0001025D" w:rsidRPr="000102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</w:tbl>
    <w:p w:rsidR="0008133F" w:rsidRDefault="0008133F" w:rsidP="00E32986">
      <w:pPr>
        <w:pStyle w:val="a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3374" w:rsidRPr="00E32986" w:rsidRDefault="00823374" w:rsidP="00E32986">
      <w:pPr>
        <w:pStyle w:val="a7"/>
        <w:jc w:val="center"/>
        <w:rPr>
          <w:rFonts w:ascii="Times New Roman" w:hAnsi="Times New Roman"/>
          <w:b/>
          <w:caps/>
          <w:sz w:val="24"/>
          <w:szCs w:val="24"/>
        </w:rPr>
      </w:pPr>
      <w:r w:rsidRPr="00E32986">
        <w:rPr>
          <w:rFonts w:ascii="Times New Roman" w:hAnsi="Times New Roman"/>
          <w:b/>
          <w:caps/>
          <w:sz w:val="24"/>
          <w:szCs w:val="24"/>
        </w:rPr>
        <w:t>VІІ. Строки та етапи виконання програми</w:t>
      </w:r>
    </w:p>
    <w:p w:rsidR="00823374" w:rsidRPr="00823374" w:rsidRDefault="00823374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823374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3374">
        <w:rPr>
          <w:rFonts w:ascii="Times New Roman" w:hAnsi="Times New Roman"/>
          <w:sz w:val="24"/>
          <w:szCs w:val="24"/>
        </w:rPr>
        <w:t>реалізується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23374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823374">
        <w:rPr>
          <w:rFonts w:ascii="Times New Roman" w:hAnsi="Times New Roman"/>
          <w:sz w:val="24"/>
          <w:szCs w:val="24"/>
        </w:rPr>
        <w:t xml:space="preserve"> 2026 - 2028 </w:t>
      </w:r>
      <w:proofErr w:type="spellStart"/>
      <w:r w:rsidRPr="00823374">
        <w:rPr>
          <w:rFonts w:ascii="Times New Roman" w:hAnsi="Times New Roman"/>
          <w:sz w:val="24"/>
          <w:szCs w:val="24"/>
        </w:rPr>
        <w:t>років</w:t>
      </w:r>
      <w:proofErr w:type="spellEnd"/>
      <w:r w:rsidRPr="00823374">
        <w:rPr>
          <w:rFonts w:ascii="Times New Roman" w:hAnsi="Times New Roman"/>
          <w:sz w:val="24"/>
          <w:szCs w:val="24"/>
        </w:rPr>
        <w:t>.</w:t>
      </w:r>
    </w:p>
    <w:p w:rsidR="0008133F" w:rsidRDefault="00823374" w:rsidP="0008133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23374">
        <w:rPr>
          <w:rFonts w:ascii="Times New Roman" w:hAnsi="Times New Roman"/>
          <w:sz w:val="24"/>
          <w:szCs w:val="24"/>
        </w:rPr>
        <w:t xml:space="preserve"> </w:t>
      </w:r>
    </w:p>
    <w:p w:rsidR="00823374" w:rsidRDefault="00823374" w:rsidP="0008133F">
      <w:pPr>
        <w:pStyle w:val="a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2986">
        <w:rPr>
          <w:rFonts w:ascii="Times New Roman" w:hAnsi="Times New Roman"/>
          <w:b/>
          <w:caps/>
          <w:sz w:val="24"/>
          <w:szCs w:val="24"/>
        </w:rPr>
        <w:t>VІІІ.  Координація та контроль за ходом виконання Програм</w:t>
      </w:r>
      <w:r w:rsidR="00E32986" w:rsidRPr="00E32986">
        <w:rPr>
          <w:rFonts w:ascii="Times New Roman" w:hAnsi="Times New Roman"/>
          <w:b/>
          <w:sz w:val="24"/>
          <w:szCs w:val="24"/>
          <w:lang w:val="uk-UA"/>
        </w:rPr>
        <w:t>И</w:t>
      </w:r>
    </w:p>
    <w:p w:rsidR="00E32986" w:rsidRPr="00823374" w:rsidRDefault="00E32986" w:rsidP="00E32986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32986" w:rsidRDefault="00E32986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823374" w:rsidRPr="001F5EA6">
        <w:rPr>
          <w:rFonts w:ascii="Times New Roman" w:hAnsi="Times New Roman"/>
          <w:sz w:val="24"/>
          <w:szCs w:val="24"/>
          <w:lang w:val="uk-UA"/>
        </w:rPr>
        <w:t xml:space="preserve">Виконавцями Програми є комунальне некомерційне підприємство «Звягельська багатопрофільна лікарня» Звягельської міської ради, комунальне некомерційне підприємство «Центр первинної медико-санітарної допомоги» Звягельської міської ради, комунальне некомерційне підприємство «Стоматологічна поліклініка» Звягельської міської ради. </w:t>
      </w:r>
      <w:r w:rsidR="00823374" w:rsidRPr="00823374">
        <w:rPr>
          <w:rFonts w:ascii="Times New Roman" w:hAnsi="Times New Roman"/>
          <w:sz w:val="24"/>
          <w:szCs w:val="24"/>
        </w:rPr>
        <w:t xml:space="preserve">Контроль за ходом виконання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Програми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здійснює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постійна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комісія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питань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соціальної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політики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охорони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здоров’я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освіти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культури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та спорту Звягельської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міської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ради.</w:t>
      </w:r>
    </w:p>
    <w:p w:rsidR="00823374" w:rsidRPr="00823374" w:rsidRDefault="00E32986" w:rsidP="0082337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Зміни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доповнення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цієї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Програми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можуть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внесенні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протягом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терміну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дії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Програми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Звягельською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374" w:rsidRPr="00823374">
        <w:rPr>
          <w:rFonts w:ascii="Times New Roman" w:hAnsi="Times New Roman"/>
          <w:sz w:val="24"/>
          <w:szCs w:val="24"/>
        </w:rPr>
        <w:t>міською</w:t>
      </w:r>
      <w:proofErr w:type="spellEnd"/>
      <w:r w:rsidR="00823374" w:rsidRPr="00823374">
        <w:rPr>
          <w:rFonts w:ascii="Times New Roman" w:hAnsi="Times New Roman"/>
          <w:sz w:val="24"/>
          <w:szCs w:val="24"/>
        </w:rPr>
        <w:t xml:space="preserve"> радою.</w:t>
      </w:r>
    </w:p>
    <w:p w:rsidR="00823374" w:rsidRDefault="00823374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</w:p>
    <w:p w:rsidR="001E744F" w:rsidRDefault="001E744F" w:rsidP="008233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sectPr w:rsidR="001E74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744F" w:rsidRDefault="001E744F" w:rsidP="001E74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>План</w:t>
      </w:r>
      <w:r>
        <w:rPr>
          <w:rFonts w:ascii="Times New Roman" w:hAnsi="Times New Roman"/>
          <w:sz w:val="28"/>
          <w:szCs w:val="28"/>
          <w:lang w:val="uk-UA"/>
        </w:rPr>
        <w:t xml:space="preserve"> заходів</w:t>
      </w:r>
    </w:p>
    <w:p w:rsidR="001E744F" w:rsidRDefault="001E744F" w:rsidP="001E744F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Комплексної Програми розвитку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і фінансової підтримки </w:t>
      </w:r>
      <w:r>
        <w:rPr>
          <w:rFonts w:ascii="Times New Roman" w:hAnsi="Times New Roman"/>
          <w:sz w:val="28"/>
          <w:szCs w:val="28"/>
          <w:lang w:val="uk-UA"/>
        </w:rPr>
        <w:t>комунальних некомерційних підприємств</w:t>
      </w:r>
    </w:p>
    <w:p w:rsidR="001E744F" w:rsidRDefault="001E744F" w:rsidP="001E744F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охорони здоров’я Звягельської міської територіальної громади  на 2027-2029 роки</w:t>
      </w:r>
    </w:p>
    <w:tbl>
      <w:tblPr>
        <w:tblStyle w:val="a5"/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4"/>
        <w:gridCol w:w="2061"/>
        <w:gridCol w:w="2788"/>
        <w:gridCol w:w="1297"/>
        <w:gridCol w:w="1391"/>
        <w:gridCol w:w="1841"/>
        <w:gridCol w:w="995"/>
        <w:gridCol w:w="1134"/>
        <w:gridCol w:w="1134"/>
        <w:gridCol w:w="993"/>
        <w:gridCol w:w="1422"/>
      </w:tblGrid>
      <w:tr w:rsidR="001E744F" w:rsidTr="001E744F">
        <w:trPr>
          <w:trHeight w:val="642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Назва напряму діяльності (пріоритетні</w:t>
            </w:r>
            <w:r>
              <w:rPr>
                <w:rFonts w:ascii="Times New Roman" w:hAnsi="Times New Roman"/>
                <w:bCs/>
                <w:sz w:val="24"/>
                <w:szCs w:val="24"/>
                <w:lang w:val="tzm-Latn-DZ"/>
              </w:rPr>
              <w:t xml:space="preserve"> завдання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  програми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виконання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Орієнтовні обсяги фінансування з бюджету міської територіальної громади, тис. грн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Очікуваний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</w:p>
        </w:tc>
      </w:tr>
      <w:tr w:rsidR="001E744F" w:rsidTr="001E744F">
        <w:trPr>
          <w:trHeight w:val="23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2027р.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2028р.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2029р.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Calibri" w:hAnsi="Calibri"/>
                <w:lang w:val="uk-UA"/>
              </w:rPr>
            </w:pPr>
          </w:p>
        </w:tc>
      </w:tr>
      <w:tr w:rsidR="001E744F" w:rsidTr="001E744F">
        <w:trPr>
          <w:trHeight w:hRule="exact" w:val="23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</w:tr>
      <w:tr w:rsidR="001E744F" w:rsidRPr="001E744F" w:rsidTr="001E744F">
        <w:trPr>
          <w:trHeight w:val="183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  <w:p w:rsidR="001E744F" w:rsidRDefault="001E744F">
            <w:pPr>
              <w:rPr>
                <w:rFonts w:ascii="Times New Roman" w:hAnsi="Times New Roman"/>
                <w:color w:val="000000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Забезпечення надання населенню амбулаторно-поліклінічної допомоги, стаціонарної медичної допомоги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Заробітна плата з нарахуваннями фахівця з супроводу ветеранів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598,9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Стабільне функціонування та сталий розвиток закладів охорони здоров’я;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Підвищення якості та доступності медичних послуг;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Зміцнення здоров’я населення, зниження рівня захворюваності та смертності, підвищення тривалості та якості життя </w:t>
            </w:r>
            <w:r>
              <w:rPr>
                <w:rFonts w:ascii="Times New Roman" w:hAnsi="Times New Roman"/>
                <w:lang w:val="uk-UA"/>
              </w:rPr>
              <w:lastRenderedPageBreak/>
              <w:t>мешканців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E744F" w:rsidTr="001E744F">
        <w:trPr>
          <w:trHeight w:val="178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 Придбання предметів, матеріалів, обладнання, інвентарю, в тому числі :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придбання паливно-мастильних матеріалів (для транспортних засобів та для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>роботи джерел резервного живлення), запчастин до транспортних засобів та інше;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 придбання постільної білизни та рушників та інше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  <w:p w:rsidR="001E744F" w:rsidRDefault="001E744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3 993,2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4 723,0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5 253,6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Придбання лікарських засобів</w:t>
            </w:r>
            <w:r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  <w:lang w:val="uk-UA"/>
              </w:rPr>
              <w:t xml:space="preserve"> виробів медичного призначення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3 862,1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4 634,5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5 561,4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84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Придбання продуктів харчування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5 541,9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6 650,3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7 980,3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Оплата послуг (крім комунальних), в тому числі: 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оплата послуг з поточного ремонту та щорічного технічного обслуговування апаратів та медичного обладнання, згідно укладених договорів     на оплату послуг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4 776,1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5 731,3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6 877,6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24 200,9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27 472,0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32 966,3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39 559,6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51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Відшкодування витрат на виплату пільгових пенсій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 кошти підприємства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1 117,1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Оплата послуг з підвищення кваліфікації та перепідготовки медичних працівників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територіальної громади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Власні кошти підприємства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748,8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84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ind w:left="37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Придбання обладнання</w:t>
            </w:r>
            <w:r>
              <w:rPr>
                <w:rFonts w:ascii="Times New Roman" w:hAnsi="Times New Roman"/>
                <w:bCs/>
              </w:rPr>
              <w:t xml:space="preserve"> і</w:t>
            </w:r>
            <w:r>
              <w:rPr>
                <w:rFonts w:ascii="Times New Roman" w:hAnsi="Times New Roman"/>
                <w:bCs/>
                <w:lang w:val="uk-UA"/>
              </w:rPr>
              <w:t xml:space="preserve"> предметів довгострокового користування, в тому числі медичного обладнання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територіальної громади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1 884,6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1 100,0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6 940,0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6 940,0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307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Капітальний ремонт: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офтальмологічного відділення лікувального корпусу №2;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протирадіаційного укриття №20816 та вентиляційної системи поліклінічного корпусу;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- протирадіаційного укриття №22853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пологово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 xml:space="preserve">-хірургічного корпусу та інші капітальні ремонти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територіальної громади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Реалізація публічних інвестиційних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>, в тому числі: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розбудова мережі стаціонарних реабілітаційних відділень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територіальної громади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19 006,1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20 000,0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70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-реконструкція (часткова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термомодернізація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>) лікувального корпусу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територіальної громади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14 533,1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10 000,0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3098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Заходи у сфері цивільного захисту, техногенної та пожежної безпеки: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обладнання приміщень  системами автоматичної пожежної сигналізації та системою оповіщення про пожежу та управління евакуацією людей;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обробка дерев’яних елементів горищних приміщень будівель </w:t>
            </w:r>
            <w:r>
              <w:rPr>
                <w:rFonts w:ascii="Times New Roman" w:hAnsi="Times New Roman"/>
                <w:lang w:val="uk-UA"/>
              </w:rPr>
              <w:lastRenderedPageBreak/>
              <w:t>засобами вогнезахисту, які забезпечують І групу вогнезахисної ефективності (ППБУ);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придбання засобів захисту органів дихання для </w:t>
            </w:r>
            <w:proofErr w:type="spellStart"/>
            <w:r>
              <w:rPr>
                <w:rFonts w:ascii="Times New Roman" w:hAnsi="Times New Roman"/>
                <w:lang w:val="uk-UA"/>
              </w:rPr>
              <w:t>саморятування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людей під час пожежі з розрахунку на максимальну кількість хворих (стаціонару) та окремо для обслуговуючого персоналу (ППБУ, КЦЗУ) та інші заходи цивільного захисту, техногенної та пожежної безпеки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територіальної громади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5 040,0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6 048,0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RPr="001E744F" w:rsidTr="001E744F">
        <w:trPr>
          <w:trHeight w:val="84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Забезпечення населення міської територіальної громади якісною первинною медичною допомогою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Заробітна плата з нарахуваннями медичним працівникам  профілактично -      діагностичного відділення  (медичні пункти тимчасового базування)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3 180,0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3 525,0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Стабільне функціонування та сталий розвиток закладів охорони здоров’я;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Підвищення якості та доступності медичних послуг;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Зміцнення здоров’я населення, зниження рівня захворюван</w:t>
            </w:r>
            <w:r>
              <w:rPr>
                <w:rFonts w:ascii="Times New Roman" w:hAnsi="Times New Roman"/>
                <w:lang w:val="uk-UA"/>
              </w:rPr>
              <w:lastRenderedPageBreak/>
              <w:t>ості та смертності, підвищення тривалості та якості життя мешканців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E744F" w:rsidTr="001E744F">
        <w:trPr>
          <w:trHeight w:val="1188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Придбання предметів, матеріалів, обладнання, інвентарю, в тому числі:    </w:t>
            </w:r>
            <w:r>
              <w:rPr>
                <w:rFonts w:ascii="Times New Roman" w:hAnsi="Times New Roman"/>
                <w:bCs/>
                <w:lang w:val="uk-UA"/>
              </w:rPr>
              <w:t xml:space="preserve">- придбання паливно-мастильних матеріалів для роботи джерел резервного живлення;                            - придбання господарчих, будівельних, електротоварів, меблів (для облаштування робочих місць працівників) та </w:t>
            </w:r>
            <w:r>
              <w:rPr>
                <w:rFonts w:ascii="Times New Roman" w:hAnsi="Times New Roman"/>
                <w:bCs/>
                <w:lang w:val="uk-UA"/>
              </w:rPr>
              <w:lastRenderedPageBreak/>
              <w:t>інших малоцінних предметів;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інших територіальних громад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91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Придбання туберкуліну для забезпечення діагностики туберкульозу серед населення громади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39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Придбання лікарських засобів, виробів медичного призначення, в тому числі: -придбання медичного обладнання та предметів;     -забезпечення лікарських засобів та перев'язувальних матеріалів;                                            -забезпечення наявності виробів медичного призначення;                                 -забезпечення дезінфікуючих засобів та інше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155,0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43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Оплата послуг (крім комунальних), в тому числі:                                     - оплата послуг з поточного ремонту (в тому числі виготовлення </w:t>
            </w:r>
            <w:proofErr w:type="spellStart"/>
            <w:r>
              <w:rPr>
                <w:rFonts w:ascii="Times New Roman" w:hAnsi="Times New Roman"/>
                <w:color w:val="000000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/>
                <w:color w:val="000000"/>
                <w:lang w:val="uk-UA"/>
              </w:rPr>
              <w:t xml:space="preserve">-кошторисної документації, авторського нагляду та </w:t>
            </w: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експертизи </w:t>
            </w:r>
            <w:proofErr w:type="spellStart"/>
            <w:r>
              <w:rPr>
                <w:rFonts w:ascii="Times New Roman" w:hAnsi="Times New Roman"/>
                <w:color w:val="000000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  <w:lang w:val="uk-UA"/>
              </w:rPr>
              <w:t>) АЗПСМ та медичних пунктах тимчасового базування та інші послуги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600,0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75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6"/>
              <w:ind w:left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Бюджет міської територіальної громади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3 900,0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5000,0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9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ind w:left="-2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Реалізація публічних інвестиційних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>, в тому числі:                            - розбудова мережі сучасних безпечних закладів первинної медичної допомоги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5 000,0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ind w:left="37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Придбання обладнання і предметів довгострокового користування, в тому числі медичного обладнання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6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  <w:p w:rsidR="001E744F" w:rsidRDefault="001E744F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Забезпечення надання належної лікувально-оздоровчої та профілактичної стоматологічної допомоги населенню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Оплата праці та нарахування на суму наданої невідкладної стоматологічної допомоги населенню міської територіальної громади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2027-2029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Стоматоло-гічна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поліклініка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1 856,2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2 320,3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Стабільне функціонування та сталий розвиток закладів охорони здоров’я;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Підвищення якості та доступності </w:t>
            </w:r>
            <w:r>
              <w:rPr>
                <w:rFonts w:ascii="Times New Roman" w:hAnsi="Times New Roman"/>
                <w:lang w:val="uk-UA"/>
              </w:rPr>
              <w:lastRenderedPageBreak/>
              <w:t>медичних послуг;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E744F" w:rsidTr="001E744F">
        <w:trPr>
          <w:trHeight w:val="1281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Придбання предметів, матеріалів, обладнання, інвентарю, в тому числі: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- придбання паливно-мастильних матеріалів для </w:t>
            </w:r>
            <w:r>
              <w:rPr>
                <w:rFonts w:ascii="Times New Roman" w:hAnsi="Times New Roman"/>
                <w:bCs/>
                <w:lang w:val="uk-UA"/>
              </w:rPr>
              <w:lastRenderedPageBreak/>
              <w:t>роботи джерел резервного живлення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Стоматоло-гічна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поліклініка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281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Оплата послуг (крім комунальних), в тому числі: 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оплата послуг з поточного ремонту та щорічного технічного обслуговування апаратів та медичного обладнання;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придбання та оновлення програмного забезпечення;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   оплата послуг утилізації медичних відходів.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Стоматоло-гічна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поліклініка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281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Стоматоло-гічна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поліклініка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459,4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574,2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717,8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101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Оплата послуг з підвищення кваліфікації та перепідготовки медичних працівників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Стоматоло-гічна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поліклініка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101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Придбання обладнання і предметів довгострокового користування, в тому числі медичного обладнання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Стоматоло-гічна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поліклініка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500,0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tbl>
      <w:tblPr>
        <w:tblStyle w:val="12"/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2836"/>
        <w:gridCol w:w="1277"/>
        <w:gridCol w:w="1418"/>
        <w:gridCol w:w="1844"/>
        <w:gridCol w:w="992"/>
        <w:gridCol w:w="1135"/>
        <w:gridCol w:w="1135"/>
        <w:gridCol w:w="992"/>
        <w:gridCol w:w="1419"/>
      </w:tblGrid>
      <w:tr w:rsidR="001E744F" w:rsidTr="001E744F">
        <w:trPr>
          <w:trHeight w:val="15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</w:t>
            </w:r>
          </w:p>
          <w:p w:rsidR="001E744F" w:rsidRDefault="001E744F">
            <w:pPr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Забезпечення надання медичної допомоги окремим категоріям населення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Відшкодування витрат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пов’язаних</w:t>
            </w:r>
            <w:r>
              <w:rPr>
                <w:rFonts w:ascii="Times New Roman" w:hAnsi="Times New Roman"/>
              </w:rPr>
              <w:t xml:space="preserve"> з</w:t>
            </w:r>
            <w:r>
              <w:rPr>
                <w:rFonts w:ascii="Times New Roman" w:hAnsi="Times New Roman"/>
                <w:lang w:val="uk-UA"/>
              </w:rPr>
              <w:t xml:space="preserve"> відпуском лікарських засобів безоплатно або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lang w:val="uk-UA"/>
              </w:rPr>
              <w:t xml:space="preserve"> пільгових</w:t>
            </w:r>
            <w:r>
              <w:rPr>
                <w:rFonts w:ascii="Times New Roman" w:hAnsi="Times New Roman"/>
                <w:lang w:val="tzm-Latn-DZ"/>
              </w:rPr>
              <w:t xml:space="preserve"> умовах</w:t>
            </w:r>
            <w:r>
              <w:rPr>
                <w:rFonts w:ascii="Times New Roman" w:hAnsi="Times New Roman"/>
                <w:lang w:val="uk-UA"/>
              </w:rPr>
              <w:t xml:space="preserve"> відповідно</w:t>
            </w:r>
            <w:r>
              <w:rPr>
                <w:rFonts w:ascii="Times New Roman" w:hAnsi="Times New Roman"/>
              </w:rPr>
              <w:t xml:space="preserve"> до чинного</w:t>
            </w:r>
            <w:r>
              <w:rPr>
                <w:rFonts w:ascii="Times New Roman" w:hAnsi="Times New Roman"/>
                <w:lang w:val="uk-UA"/>
              </w:rPr>
              <w:t xml:space="preserve"> законодавства</w:t>
            </w:r>
            <w:r>
              <w:rPr>
                <w:rFonts w:ascii="Times New Roman" w:hAnsi="Times New Roman"/>
              </w:rPr>
              <w:t>, в тому</w:t>
            </w:r>
            <w:r>
              <w:rPr>
                <w:rFonts w:ascii="Times New Roman" w:hAnsi="Times New Roman"/>
                <w:lang w:val="uk-UA"/>
              </w:rPr>
              <w:t xml:space="preserve"> числі для лікування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орфанних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захворювань</w:t>
            </w:r>
          </w:p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2027-2029 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Звягельська багато-профільна лікарня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2 160,0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2 592,0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Забезпечення проведення цільових, програмних та інших заходів у галузі медицини, які не покриваються базовими пакетами медичних гарантій</w:t>
            </w:r>
          </w:p>
        </w:tc>
      </w:tr>
      <w:tr w:rsidR="001E744F" w:rsidTr="001E744F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1 500,00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1 800,0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2 000,0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rPr>
          <w:trHeight w:val="19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Забезпечення осіб з інвалідністю технічними засобами та виробами медичного призначення, згідно ЕКОПФ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Інші джерела не заборонені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9 000,0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1E744F" w:rsidTr="001E74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 Забезпечення медичними засобами та  виробами медичного призначення  хворих з орфанними захворюваннями, в т. ч. на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фенілкетонурію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муковісцедоз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 xml:space="preserve"> (спеціалізоване  харчування)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2027-2029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Центр первинної медико-санітарної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Бюджет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4F" w:rsidRDefault="001E744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2 000,0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4F" w:rsidRDefault="001E744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1E744F" w:rsidRDefault="001E744F" w:rsidP="001E744F">
      <w:pPr>
        <w:rPr>
          <w:rFonts w:ascii="Calibri" w:eastAsia="Calibri" w:hAnsi="Calibri"/>
          <w:lang w:val="uk-UA"/>
        </w:rPr>
      </w:pPr>
    </w:p>
    <w:p w:rsidR="001E744F" w:rsidRDefault="001E744F" w:rsidP="001E744F">
      <w:pPr>
        <w:rPr>
          <w:lang w:val="uk-UA"/>
        </w:rPr>
      </w:pPr>
    </w:p>
    <w:p w:rsidR="001E744F" w:rsidRDefault="001E744F" w:rsidP="001E744F">
      <w:pPr>
        <w:rPr>
          <w:lang w:val="uk-UA"/>
        </w:rPr>
      </w:pPr>
    </w:p>
    <w:p w:rsidR="003966DC" w:rsidRPr="00823374" w:rsidRDefault="001E744F" w:rsidP="001E744F">
      <w:pPr>
        <w:pStyle w:val="a7"/>
        <w:tabs>
          <w:tab w:val="left" w:pos="709"/>
        </w:tabs>
        <w:spacing w:line="280" w:lineRule="atLeast"/>
        <w:jc w:val="both"/>
        <w:rPr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Оксана ГВОЗДЕНКО</w:t>
      </w:r>
      <w:bookmarkStart w:id="0" w:name="_GoBack"/>
      <w:bookmarkEnd w:id="0"/>
    </w:p>
    <w:sectPr w:rsidR="003966DC" w:rsidRPr="00823374" w:rsidSect="001E74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AAF"/>
    <w:multiLevelType w:val="hybridMultilevel"/>
    <w:tmpl w:val="946EEA88"/>
    <w:lvl w:ilvl="0" w:tplc="5DCCE7A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4D4"/>
    <w:multiLevelType w:val="hybridMultilevel"/>
    <w:tmpl w:val="F10C1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14B"/>
    <w:multiLevelType w:val="hybridMultilevel"/>
    <w:tmpl w:val="6F0C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1A8E"/>
    <w:multiLevelType w:val="hybridMultilevel"/>
    <w:tmpl w:val="D946E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106E"/>
    <w:multiLevelType w:val="hybridMultilevel"/>
    <w:tmpl w:val="1A823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B3CFD"/>
    <w:multiLevelType w:val="hybridMultilevel"/>
    <w:tmpl w:val="CD18A4C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2C657E"/>
    <w:multiLevelType w:val="hybridMultilevel"/>
    <w:tmpl w:val="AB40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D6D"/>
    <w:multiLevelType w:val="hybridMultilevel"/>
    <w:tmpl w:val="0A1EA48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10FE9"/>
    <w:multiLevelType w:val="hybridMultilevel"/>
    <w:tmpl w:val="3AA4F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E6D35"/>
    <w:multiLevelType w:val="hybridMultilevel"/>
    <w:tmpl w:val="BC4E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832E3"/>
    <w:multiLevelType w:val="hybridMultilevel"/>
    <w:tmpl w:val="87FEBB20"/>
    <w:lvl w:ilvl="0" w:tplc="A9326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4492B"/>
    <w:multiLevelType w:val="hybridMultilevel"/>
    <w:tmpl w:val="01AA3828"/>
    <w:lvl w:ilvl="0" w:tplc="6EEA60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53251"/>
    <w:multiLevelType w:val="hybridMultilevel"/>
    <w:tmpl w:val="F1D8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645FE"/>
    <w:multiLevelType w:val="hybridMultilevel"/>
    <w:tmpl w:val="AB2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4AB5"/>
    <w:multiLevelType w:val="hybridMultilevel"/>
    <w:tmpl w:val="66B4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9027C"/>
    <w:multiLevelType w:val="hybridMultilevel"/>
    <w:tmpl w:val="7ECE0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B1DE4"/>
    <w:multiLevelType w:val="hybridMultilevel"/>
    <w:tmpl w:val="F7E0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72E0C"/>
    <w:multiLevelType w:val="hybridMultilevel"/>
    <w:tmpl w:val="79DE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4C02"/>
    <w:multiLevelType w:val="hybridMultilevel"/>
    <w:tmpl w:val="8110E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5240D"/>
    <w:multiLevelType w:val="hybridMultilevel"/>
    <w:tmpl w:val="9ABC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F7CD4"/>
    <w:multiLevelType w:val="hybridMultilevel"/>
    <w:tmpl w:val="3E62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C468B"/>
    <w:multiLevelType w:val="hybridMultilevel"/>
    <w:tmpl w:val="F2BE0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51483"/>
    <w:multiLevelType w:val="hybridMultilevel"/>
    <w:tmpl w:val="F552F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91E56"/>
    <w:multiLevelType w:val="hybridMultilevel"/>
    <w:tmpl w:val="052C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0295E"/>
    <w:multiLevelType w:val="hybridMultilevel"/>
    <w:tmpl w:val="872AD512"/>
    <w:lvl w:ilvl="0" w:tplc="B158EB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6"/>
  </w:num>
  <w:num w:numId="5">
    <w:abstractNumId w:val="20"/>
  </w:num>
  <w:num w:numId="6">
    <w:abstractNumId w:val="14"/>
  </w:num>
  <w:num w:numId="7">
    <w:abstractNumId w:val="21"/>
  </w:num>
  <w:num w:numId="8">
    <w:abstractNumId w:val="15"/>
  </w:num>
  <w:num w:numId="9">
    <w:abstractNumId w:val="8"/>
  </w:num>
  <w:num w:numId="10">
    <w:abstractNumId w:val="4"/>
  </w:num>
  <w:num w:numId="11">
    <w:abstractNumId w:val="3"/>
  </w:num>
  <w:num w:numId="12">
    <w:abstractNumId w:val="19"/>
  </w:num>
  <w:num w:numId="13">
    <w:abstractNumId w:val="2"/>
  </w:num>
  <w:num w:numId="14">
    <w:abstractNumId w:val="22"/>
  </w:num>
  <w:num w:numId="15">
    <w:abstractNumId w:val="9"/>
  </w:num>
  <w:num w:numId="16">
    <w:abstractNumId w:val="12"/>
  </w:num>
  <w:num w:numId="17">
    <w:abstractNumId w:val="18"/>
  </w:num>
  <w:num w:numId="18">
    <w:abstractNumId w:val="17"/>
  </w:num>
  <w:num w:numId="19">
    <w:abstractNumId w:val="1"/>
  </w:num>
  <w:num w:numId="20">
    <w:abstractNumId w:val="23"/>
  </w:num>
  <w:num w:numId="21">
    <w:abstractNumId w:val="11"/>
  </w:num>
  <w:num w:numId="22">
    <w:abstractNumId w:val="10"/>
  </w:num>
  <w:num w:numId="23">
    <w:abstractNumId w:val="5"/>
  </w:num>
  <w:num w:numId="24">
    <w:abstractNumId w:val="13"/>
  </w:num>
  <w:num w:numId="25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93"/>
    <w:rsid w:val="0001025D"/>
    <w:rsid w:val="0008133F"/>
    <w:rsid w:val="001544C1"/>
    <w:rsid w:val="00155993"/>
    <w:rsid w:val="001E744F"/>
    <w:rsid w:val="001F3714"/>
    <w:rsid w:val="001F5EA6"/>
    <w:rsid w:val="002F274B"/>
    <w:rsid w:val="003966DC"/>
    <w:rsid w:val="00405332"/>
    <w:rsid w:val="00461C02"/>
    <w:rsid w:val="00604D93"/>
    <w:rsid w:val="0063434E"/>
    <w:rsid w:val="00660CB7"/>
    <w:rsid w:val="006C7AA4"/>
    <w:rsid w:val="006D1A46"/>
    <w:rsid w:val="006F26FA"/>
    <w:rsid w:val="00823374"/>
    <w:rsid w:val="00832E86"/>
    <w:rsid w:val="008824E9"/>
    <w:rsid w:val="008B14A6"/>
    <w:rsid w:val="00933729"/>
    <w:rsid w:val="0094492F"/>
    <w:rsid w:val="00983C15"/>
    <w:rsid w:val="00A11477"/>
    <w:rsid w:val="00A65866"/>
    <w:rsid w:val="00AE68BA"/>
    <w:rsid w:val="00D45BCE"/>
    <w:rsid w:val="00DF7D98"/>
    <w:rsid w:val="00E32986"/>
    <w:rsid w:val="00F35CE0"/>
    <w:rsid w:val="00F8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5895"/>
  <w15:chartTrackingRefBased/>
  <w15:docId w15:val="{A6A52589-2803-45EC-B5FF-C11A22B0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3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має списку1"/>
    <w:next w:val="a2"/>
    <w:uiPriority w:val="99"/>
    <w:semiHidden/>
    <w:unhideWhenUsed/>
    <w:rsid w:val="00823374"/>
  </w:style>
  <w:style w:type="character" w:customStyle="1" w:styleId="21">
    <w:name w:val="Основной текст (2)_"/>
    <w:link w:val="22"/>
    <w:uiPriority w:val="99"/>
    <w:locked/>
    <w:rsid w:val="00823374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23374"/>
    <w:pPr>
      <w:widowControl w:val="0"/>
      <w:shd w:val="clear" w:color="auto" w:fill="FFFFFF"/>
      <w:spacing w:after="120" w:line="240" w:lineRule="atLeast"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2337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3374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82337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3374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82337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823374"/>
    <w:rPr>
      <w:rFonts w:ascii="Times New Roman" w:eastAsia="Calibri" w:hAnsi="Times New Roman" w:cs="Times New Roman"/>
      <w:sz w:val="24"/>
      <w:szCs w:val="24"/>
    </w:rPr>
  </w:style>
  <w:style w:type="table" w:customStyle="1" w:styleId="12">
    <w:name w:val="Сетка таблицы1"/>
    <w:basedOn w:val="a1"/>
    <w:uiPriority w:val="39"/>
    <w:rsid w:val="001E74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8137-7944-49AF-90A0-F928DD94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20</Pages>
  <Words>4709</Words>
  <Characters>26842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2026-04-24T10:56:00Z</dcterms:created>
  <dcterms:modified xsi:type="dcterms:W3CDTF">2026-06-22T12:29:00Z</dcterms:modified>
</cp:coreProperties>
</file>